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78" w:rsidRDefault="00467478" w:rsidP="00D817CA">
      <w:pPr>
        <w:pStyle w:val="Encabezado"/>
        <w:rPr>
          <w:lang w:val="es-ES"/>
        </w:rPr>
      </w:pPr>
    </w:p>
    <w:p w:rsidR="00467478" w:rsidRPr="00467478" w:rsidRDefault="00467478" w:rsidP="00467478">
      <w:pPr>
        <w:rPr>
          <w:lang w:val="es-ES"/>
        </w:rPr>
      </w:pPr>
    </w:p>
    <w:p w:rsidR="00220136" w:rsidRPr="00220136" w:rsidRDefault="00220136" w:rsidP="00220136">
      <w:pPr>
        <w:jc w:val="center"/>
        <w:rPr>
          <w:b/>
          <w:color w:val="E36C0A" w:themeColor="accent6" w:themeShade="BF"/>
        </w:rPr>
      </w:pPr>
      <w:r w:rsidRPr="00220136">
        <w:rPr>
          <w:b/>
          <w:color w:val="E36C0A" w:themeColor="accent6" w:themeShade="BF"/>
        </w:rPr>
        <w:t>Curso de Perfeccionamiento en</w:t>
      </w:r>
      <w:r w:rsidRPr="00220136">
        <w:rPr>
          <w:color w:val="E36C0A" w:themeColor="accent6" w:themeShade="BF"/>
        </w:rPr>
        <w:t xml:space="preserve"> </w:t>
      </w:r>
      <w:r w:rsidRPr="00220136">
        <w:rPr>
          <w:b/>
          <w:color w:val="E36C0A" w:themeColor="accent6" w:themeShade="BF"/>
        </w:rPr>
        <w:t>Imagenología por Tomografía de Rx: Seguridad, Consola y Desarrollo</w:t>
      </w:r>
    </w:p>
    <w:p w:rsidR="00220136" w:rsidRDefault="00220136" w:rsidP="00220136">
      <w:pPr>
        <w:rPr>
          <w:b/>
        </w:rPr>
      </w:pPr>
    </w:p>
    <w:p w:rsidR="00220136" w:rsidRDefault="00220136" w:rsidP="00220136">
      <w:pPr>
        <w:rPr>
          <w:b/>
        </w:rPr>
      </w:pPr>
      <w:r w:rsidRPr="003B402A">
        <w:rPr>
          <w:b/>
        </w:rPr>
        <w:t>Contenidos Analíticos</w:t>
      </w:r>
    </w:p>
    <w:p w:rsidR="00220136" w:rsidRDefault="00220136" w:rsidP="00220136"/>
    <w:p w:rsidR="00220136" w:rsidRDefault="00220136" w:rsidP="00220136">
      <w:r>
        <w:t>Módulo 1: Principios físicos</w:t>
      </w:r>
    </w:p>
    <w:p w:rsidR="00220136" w:rsidRDefault="00220136" w:rsidP="00220136">
      <w:pPr>
        <w:numPr>
          <w:ilvl w:val="0"/>
          <w:numId w:val="2"/>
        </w:numPr>
      </w:pPr>
      <w:r>
        <w:t>Estructura de la materia</w:t>
      </w:r>
    </w:p>
    <w:p w:rsidR="00220136" w:rsidRDefault="00220136" w:rsidP="00220136">
      <w:pPr>
        <w:numPr>
          <w:ilvl w:val="0"/>
          <w:numId w:val="2"/>
        </w:numPr>
      </w:pPr>
      <w:r>
        <w:t>Radiación / ondas electromagnéticas</w:t>
      </w:r>
    </w:p>
    <w:p w:rsidR="00220136" w:rsidRDefault="00220136" w:rsidP="00220136">
      <w:pPr>
        <w:numPr>
          <w:ilvl w:val="0"/>
          <w:numId w:val="2"/>
        </w:numPr>
      </w:pPr>
      <w:r>
        <w:t>Espectro electromagnético</w:t>
      </w:r>
    </w:p>
    <w:p w:rsidR="00220136" w:rsidRDefault="00220136" w:rsidP="00220136">
      <w:pPr>
        <w:numPr>
          <w:ilvl w:val="0"/>
          <w:numId w:val="2"/>
        </w:numPr>
      </w:pPr>
      <w:r>
        <w:t>Principios de radioprotección, seguridad y dosis de radiación</w:t>
      </w:r>
    </w:p>
    <w:p w:rsidR="00220136" w:rsidRDefault="00220136" w:rsidP="00220136"/>
    <w:p w:rsidR="00220136" w:rsidRDefault="00220136" w:rsidP="00220136">
      <w:r>
        <w:t>Módulo 2: Física de Imágenes</w:t>
      </w:r>
    </w:p>
    <w:p w:rsidR="00220136" w:rsidRDefault="00220136" w:rsidP="00220136">
      <w:pPr>
        <w:numPr>
          <w:ilvl w:val="0"/>
          <w:numId w:val="3"/>
        </w:numPr>
      </w:pPr>
      <w:r>
        <w:t>Visualización de imágenes – Introducción</w:t>
      </w:r>
    </w:p>
    <w:p w:rsidR="00220136" w:rsidRDefault="00220136" w:rsidP="00220136">
      <w:pPr>
        <w:numPr>
          <w:ilvl w:val="0"/>
          <w:numId w:val="3"/>
        </w:numPr>
      </w:pPr>
      <w:r>
        <w:t>Pixel, voxel, matriz, FOV, HU, WW, WL</w:t>
      </w:r>
    </w:p>
    <w:p w:rsidR="00220136" w:rsidRDefault="00220136" w:rsidP="00220136">
      <w:pPr>
        <w:numPr>
          <w:ilvl w:val="0"/>
          <w:numId w:val="3"/>
        </w:numPr>
      </w:pPr>
      <w:r>
        <w:t>Planos de imagen y coordenadas</w:t>
      </w:r>
    </w:p>
    <w:p w:rsidR="00220136" w:rsidRDefault="00220136" w:rsidP="00220136">
      <w:pPr>
        <w:numPr>
          <w:ilvl w:val="0"/>
          <w:numId w:val="3"/>
        </w:numPr>
      </w:pPr>
      <w:r>
        <w:t>Resolución espacial</w:t>
      </w:r>
    </w:p>
    <w:p w:rsidR="00220136" w:rsidRDefault="00220136" w:rsidP="00220136">
      <w:pPr>
        <w:numPr>
          <w:ilvl w:val="0"/>
          <w:numId w:val="3"/>
        </w:numPr>
      </w:pPr>
      <w:r>
        <w:t>Resolución de contraste</w:t>
      </w:r>
    </w:p>
    <w:p w:rsidR="00220136" w:rsidRDefault="00220136" w:rsidP="00220136">
      <w:pPr>
        <w:numPr>
          <w:ilvl w:val="0"/>
          <w:numId w:val="3"/>
        </w:numPr>
      </w:pPr>
      <w:r>
        <w:t>Resolución temporal</w:t>
      </w:r>
    </w:p>
    <w:p w:rsidR="00220136" w:rsidRDefault="00220136" w:rsidP="00220136">
      <w:pPr>
        <w:numPr>
          <w:ilvl w:val="0"/>
          <w:numId w:val="3"/>
        </w:numPr>
      </w:pPr>
      <w:r>
        <w:t>Ruido</w:t>
      </w:r>
    </w:p>
    <w:p w:rsidR="00220136" w:rsidRDefault="00220136" w:rsidP="00220136">
      <w:pPr>
        <w:numPr>
          <w:ilvl w:val="0"/>
          <w:numId w:val="3"/>
        </w:numPr>
      </w:pPr>
      <w:r>
        <w:t>PACS / DICOM</w:t>
      </w:r>
    </w:p>
    <w:p w:rsidR="00220136" w:rsidRDefault="00220136" w:rsidP="00220136">
      <w:pPr>
        <w:numPr>
          <w:ilvl w:val="0"/>
          <w:numId w:val="3"/>
        </w:numPr>
      </w:pPr>
      <w:r>
        <w:t>Redes / Archivado</w:t>
      </w:r>
    </w:p>
    <w:p w:rsidR="00220136" w:rsidRDefault="00220136" w:rsidP="00220136">
      <w:pPr>
        <w:numPr>
          <w:ilvl w:val="0"/>
          <w:numId w:val="3"/>
        </w:numPr>
      </w:pPr>
      <w:r>
        <w:t>Linealidad y uniformidad QC / QA</w:t>
      </w:r>
    </w:p>
    <w:p w:rsidR="00220136" w:rsidRDefault="00220136" w:rsidP="00220136"/>
    <w:p w:rsidR="00220136" w:rsidRDefault="00220136" w:rsidP="00220136">
      <w:r>
        <w:t>Módulo 3: Anatomía básica</w:t>
      </w:r>
    </w:p>
    <w:p w:rsidR="00220136" w:rsidRDefault="00220136" w:rsidP="00220136">
      <w:pPr>
        <w:numPr>
          <w:ilvl w:val="0"/>
          <w:numId w:val="4"/>
        </w:numPr>
      </w:pPr>
      <w:r>
        <w:t>Terminología Seccional Transversal</w:t>
      </w:r>
    </w:p>
    <w:p w:rsidR="00220136" w:rsidRDefault="00220136" w:rsidP="00220136">
      <w:pPr>
        <w:numPr>
          <w:ilvl w:val="0"/>
          <w:numId w:val="4"/>
        </w:numPr>
      </w:pPr>
      <w:r>
        <w:t>Cabeza</w:t>
      </w:r>
    </w:p>
    <w:p w:rsidR="00220136" w:rsidRDefault="00220136" w:rsidP="00220136">
      <w:pPr>
        <w:numPr>
          <w:ilvl w:val="0"/>
          <w:numId w:val="4"/>
        </w:numPr>
      </w:pPr>
      <w:r>
        <w:t>Pecho</w:t>
      </w:r>
    </w:p>
    <w:p w:rsidR="00220136" w:rsidRDefault="00220136" w:rsidP="00220136">
      <w:pPr>
        <w:numPr>
          <w:ilvl w:val="0"/>
          <w:numId w:val="4"/>
        </w:numPr>
      </w:pPr>
      <w:r>
        <w:t>Espina</w:t>
      </w:r>
    </w:p>
    <w:p w:rsidR="00220136" w:rsidRDefault="00220136" w:rsidP="00220136">
      <w:pPr>
        <w:numPr>
          <w:ilvl w:val="0"/>
          <w:numId w:val="4"/>
        </w:numPr>
      </w:pPr>
      <w:r>
        <w:t>Abdomen</w:t>
      </w:r>
    </w:p>
    <w:p w:rsidR="00220136" w:rsidRDefault="00220136" w:rsidP="00220136">
      <w:pPr>
        <w:numPr>
          <w:ilvl w:val="0"/>
          <w:numId w:val="4"/>
        </w:numPr>
      </w:pPr>
      <w:r>
        <w:t>Pelvis</w:t>
      </w:r>
    </w:p>
    <w:p w:rsidR="00220136" w:rsidRDefault="00220136" w:rsidP="00220136">
      <w:pPr>
        <w:numPr>
          <w:ilvl w:val="0"/>
          <w:numId w:val="4"/>
        </w:numPr>
      </w:pPr>
      <w:r>
        <w:t>Evaluación del paciente</w:t>
      </w:r>
    </w:p>
    <w:p w:rsidR="00220136" w:rsidRDefault="00220136" w:rsidP="00220136">
      <w:pPr>
        <w:numPr>
          <w:ilvl w:val="0"/>
          <w:numId w:val="4"/>
        </w:numPr>
      </w:pPr>
      <w:r>
        <w:t>Preparación para el examen</w:t>
      </w:r>
    </w:p>
    <w:p w:rsidR="00220136" w:rsidRDefault="00220136" w:rsidP="00220136">
      <w:pPr>
        <w:numPr>
          <w:ilvl w:val="0"/>
          <w:numId w:val="4"/>
        </w:numPr>
      </w:pPr>
      <w:r>
        <w:t>Consentimiento, seguimiento y evaluación</w:t>
      </w:r>
    </w:p>
    <w:p w:rsidR="00220136" w:rsidRDefault="00220136" w:rsidP="00220136"/>
    <w:p w:rsidR="00220136" w:rsidRDefault="00220136" w:rsidP="00220136">
      <w:r>
        <w:t>Módulo 4: Sistemas de CTx</w:t>
      </w:r>
    </w:p>
    <w:p w:rsidR="00220136" w:rsidRDefault="00220136" w:rsidP="00220136">
      <w:pPr>
        <w:numPr>
          <w:ilvl w:val="0"/>
          <w:numId w:val="5"/>
        </w:numPr>
      </w:pPr>
      <w:r>
        <w:t>Creación y procesamiento de la imagen</w:t>
      </w:r>
    </w:p>
    <w:p w:rsidR="00220136" w:rsidRDefault="00220136" w:rsidP="00220136">
      <w:pPr>
        <w:numPr>
          <w:ilvl w:val="0"/>
          <w:numId w:val="5"/>
        </w:numPr>
      </w:pPr>
      <w:r>
        <w:t>Tubo (kVp y mAs), generador</w:t>
      </w:r>
    </w:p>
    <w:p w:rsidR="00220136" w:rsidRDefault="00220136" w:rsidP="00220136">
      <w:pPr>
        <w:numPr>
          <w:ilvl w:val="0"/>
          <w:numId w:val="5"/>
        </w:numPr>
      </w:pPr>
      <w:r>
        <w:t>Detectores, colimación, DAS</w:t>
      </w:r>
    </w:p>
    <w:p w:rsidR="00220136" w:rsidRDefault="00220136" w:rsidP="00220136">
      <w:pPr>
        <w:numPr>
          <w:ilvl w:val="0"/>
          <w:numId w:val="5"/>
        </w:numPr>
      </w:pPr>
      <w:r>
        <w:t>Computadoras, procesador de array</w:t>
      </w:r>
    </w:p>
    <w:p w:rsidR="00220136" w:rsidRDefault="00220136" w:rsidP="00220136">
      <w:pPr>
        <w:numPr>
          <w:ilvl w:val="0"/>
          <w:numId w:val="5"/>
        </w:numPr>
      </w:pPr>
      <w:r>
        <w:t>Evolución tecnológica y últimos desarrollos</w:t>
      </w:r>
    </w:p>
    <w:p w:rsidR="00220136" w:rsidRDefault="00220136" w:rsidP="00220136"/>
    <w:p w:rsidR="00220136" w:rsidRDefault="00220136" w:rsidP="00220136">
      <w:r>
        <w:t>Módulo 5: Agentes de contraste</w:t>
      </w:r>
    </w:p>
    <w:p w:rsidR="00220136" w:rsidRDefault="00220136" w:rsidP="00220136">
      <w:pPr>
        <w:numPr>
          <w:ilvl w:val="0"/>
          <w:numId w:val="6"/>
        </w:numPr>
      </w:pPr>
      <w:r>
        <w:t>Valores de laboratorio</w:t>
      </w:r>
    </w:p>
    <w:p w:rsidR="00220136" w:rsidRDefault="00220136" w:rsidP="00220136">
      <w:pPr>
        <w:numPr>
          <w:ilvl w:val="0"/>
          <w:numId w:val="6"/>
        </w:numPr>
      </w:pPr>
      <w:r>
        <w:t>Métodos de contraste oral y EV</w:t>
      </w:r>
    </w:p>
    <w:p w:rsidR="00220136" w:rsidRDefault="00220136" w:rsidP="00220136">
      <w:pPr>
        <w:numPr>
          <w:ilvl w:val="0"/>
          <w:numId w:val="6"/>
        </w:numPr>
      </w:pPr>
      <w:r>
        <w:t>Alergias y tratamientos</w:t>
      </w:r>
    </w:p>
    <w:p w:rsidR="00220136" w:rsidRDefault="00220136" w:rsidP="00220136">
      <w:pPr>
        <w:numPr>
          <w:ilvl w:val="0"/>
          <w:numId w:val="6"/>
        </w:numPr>
      </w:pPr>
      <w:r>
        <w:t>Técnicas de administración / inyección de contraste / Parámetros de inyección automática</w:t>
      </w:r>
    </w:p>
    <w:p w:rsidR="00220136" w:rsidRDefault="00220136" w:rsidP="00220136"/>
    <w:p w:rsidR="00220136" w:rsidRDefault="00220136" w:rsidP="00220136"/>
    <w:p w:rsidR="00220136" w:rsidRDefault="00220136" w:rsidP="00220136">
      <w:r>
        <w:t>Módulo 6: Adquisición (Cabeza)</w:t>
      </w:r>
    </w:p>
    <w:p w:rsidR="00220136" w:rsidRDefault="00220136" w:rsidP="00220136">
      <w:pPr>
        <w:numPr>
          <w:ilvl w:val="0"/>
          <w:numId w:val="7"/>
        </w:numPr>
      </w:pPr>
      <w:r>
        <w:t>Revisión básica de la anatomía</w:t>
      </w:r>
    </w:p>
    <w:p w:rsidR="00220136" w:rsidRDefault="00220136" w:rsidP="00220136">
      <w:pPr>
        <w:numPr>
          <w:ilvl w:val="0"/>
          <w:numId w:val="7"/>
        </w:numPr>
      </w:pPr>
      <w:r>
        <w:t>Perfil de un accidente cerebrovascular</w:t>
      </w:r>
    </w:p>
    <w:p w:rsidR="00220136" w:rsidRDefault="00220136" w:rsidP="00220136">
      <w:pPr>
        <w:numPr>
          <w:ilvl w:val="0"/>
          <w:numId w:val="7"/>
        </w:numPr>
      </w:pPr>
      <w:r>
        <w:t>Tipos de accidentes cerebrovasculares y su aparición CT: Isquémico, Hemorrágico e Hipertenso</w:t>
      </w:r>
    </w:p>
    <w:p w:rsidR="00220136" w:rsidRDefault="00220136" w:rsidP="00220136">
      <w:pPr>
        <w:numPr>
          <w:ilvl w:val="0"/>
          <w:numId w:val="7"/>
        </w:numPr>
      </w:pPr>
      <w:r>
        <w:t>Protocolos</w:t>
      </w:r>
    </w:p>
    <w:p w:rsidR="00220136" w:rsidRDefault="00220136" w:rsidP="00220136">
      <w:pPr>
        <w:numPr>
          <w:ilvl w:val="0"/>
          <w:numId w:val="7"/>
        </w:numPr>
      </w:pPr>
      <w:r>
        <w:t>Anatomía y patología del CAI, silla Turca y los senos paranasales</w:t>
      </w:r>
    </w:p>
    <w:p w:rsidR="00220136" w:rsidRDefault="00220136" w:rsidP="00220136">
      <w:pPr>
        <w:numPr>
          <w:ilvl w:val="0"/>
          <w:numId w:val="7"/>
        </w:numPr>
      </w:pPr>
      <w:r>
        <w:t>Trauma del hueso facial</w:t>
      </w:r>
    </w:p>
    <w:p w:rsidR="00220136" w:rsidRDefault="00220136" w:rsidP="00220136">
      <w:pPr>
        <w:numPr>
          <w:ilvl w:val="0"/>
          <w:numId w:val="7"/>
        </w:numPr>
      </w:pPr>
      <w:r>
        <w:t>Polígono de Willis – Angiografía</w:t>
      </w:r>
    </w:p>
    <w:p w:rsidR="00220136" w:rsidRDefault="00220136" w:rsidP="00220136"/>
    <w:p w:rsidR="00220136" w:rsidRDefault="00220136" w:rsidP="00220136">
      <w:r>
        <w:t>Módulo 7: Adquisición (Cuerpo y MSK)</w:t>
      </w:r>
    </w:p>
    <w:p w:rsidR="00220136" w:rsidRDefault="00220136" w:rsidP="00220136">
      <w:pPr>
        <w:numPr>
          <w:ilvl w:val="0"/>
          <w:numId w:val="8"/>
        </w:numPr>
      </w:pPr>
      <w:r>
        <w:t>TC cervical, torácica y lumbar</w:t>
      </w:r>
    </w:p>
    <w:p w:rsidR="00220136" w:rsidRDefault="00220136" w:rsidP="00220136">
      <w:pPr>
        <w:numPr>
          <w:ilvl w:val="0"/>
          <w:numId w:val="8"/>
        </w:numPr>
      </w:pPr>
      <w:r>
        <w:t>Aplicaciones comunes para la evaluación de TC de rutina de pecho sin y con contraste; protocolos de exploración y parámetros de temporización</w:t>
      </w:r>
    </w:p>
    <w:p w:rsidR="00220136" w:rsidRDefault="00220136" w:rsidP="00220136">
      <w:pPr>
        <w:numPr>
          <w:ilvl w:val="0"/>
          <w:numId w:val="8"/>
        </w:numPr>
      </w:pPr>
      <w:r>
        <w:t>Evaluación abdominal y pelvis: apéndice, hígado, páncreas, aorta abdominal, sistema renal; protocolos de exploración y parámetros de temporización</w:t>
      </w:r>
    </w:p>
    <w:p w:rsidR="00220136" w:rsidRDefault="00220136" w:rsidP="00220136">
      <w:pPr>
        <w:numPr>
          <w:ilvl w:val="0"/>
          <w:numId w:val="8"/>
        </w:numPr>
      </w:pPr>
      <w:r>
        <w:t>Sistema musculoesquelético y protocolos de explcoración</w:t>
      </w:r>
    </w:p>
    <w:p w:rsidR="00220136" w:rsidRDefault="00220136" w:rsidP="00220136"/>
    <w:p w:rsidR="00220136" w:rsidRDefault="00220136" w:rsidP="00220136">
      <w:r>
        <w:t>Módulo 8: Estudios avanzados de imagen de CTx</w:t>
      </w:r>
    </w:p>
    <w:p w:rsidR="00220136" w:rsidRDefault="00220136" w:rsidP="00220136">
      <w:pPr>
        <w:numPr>
          <w:ilvl w:val="0"/>
          <w:numId w:val="9"/>
        </w:numPr>
      </w:pPr>
      <w:r>
        <w:t>CT cardíaca</w:t>
      </w:r>
    </w:p>
    <w:p w:rsidR="00220136" w:rsidRDefault="00220136" w:rsidP="00220136">
      <w:pPr>
        <w:numPr>
          <w:ilvl w:val="0"/>
          <w:numId w:val="9"/>
        </w:numPr>
      </w:pPr>
      <w:r>
        <w:t>Procedimientos especiales (biopsia/drenaje)</w:t>
      </w:r>
    </w:p>
    <w:p w:rsidR="00220136" w:rsidRDefault="00220136" w:rsidP="00220136">
      <w:pPr>
        <w:numPr>
          <w:ilvl w:val="0"/>
          <w:numId w:val="9"/>
        </w:numPr>
      </w:pPr>
      <w:r>
        <w:t>Introducción PET/CT</w:t>
      </w:r>
    </w:p>
    <w:p w:rsidR="00220136" w:rsidRDefault="00220136" w:rsidP="00220136">
      <w:pPr>
        <w:numPr>
          <w:ilvl w:val="0"/>
          <w:numId w:val="9"/>
        </w:numPr>
      </w:pPr>
      <w:r>
        <w:t>Reconstrucción</w:t>
      </w:r>
    </w:p>
    <w:p w:rsidR="00220136" w:rsidRDefault="00220136" w:rsidP="00220136">
      <w:pPr>
        <w:numPr>
          <w:ilvl w:val="0"/>
          <w:numId w:val="9"/>
        </w:numPr>
      </w:pPr>
      <w:r>
        <w:t>MPR / MIP /minIP / VR</w:t>
      </w:r>
    </w:p>
    <w:p w:rsidR="00220136" w:rsidRDefault="00220136" w:rsidP="00220136">
      <w:pPr>
        <w:numPr>
          <w:ilvl w:val="0"/>
          <w:numId w:val="9"/>
        </w:numPr>
      </w:pPr>
      <w:r>
        <w:t>Postprocesamiento</w:t>
      </w:r>
    </w:p>
    <w:p w:rsidR="00220136" w:rsidRDefault="00220136" w:rsidP="00220136"/>
    <w:p w:rsidR="00220136" w:rsidRDefault="00220136" w:rsidP="00220136">
      <w:pPr>
        <w:rPr>
          <w:b/>
        </w:rPr>
      </w:pPr>
    </w:p>
    <w:p w:rsidR="00220136" w:rsidRDefault="00220136" w:rsidP="00220136">
      <w:pPr>
        <w:rPr>
          <w:b/>
        </w:rPr>
      </w:pPr>
      <w:r>
        <w:rPr>
          <w:b/>
        </w:rPr>
        <w:t>M</w:t>
      </w:r>
      <w:r w:rsidRPr="00EC4FB8">
        <w:rPr>
          <w:b/>
        </w:rPr>
        <w:t>etodología de Enseñanza y de Evaluación durante el cursado</w:t>
      </w:r>
    </w:p>
    <w:p w:rsidR="00220136" w:rsidRDefault="00220136" w:rsidP="00220136">
      <w:pPr>
        <w:rPr>
          <w:b/>
        </w:rPr>
      </w:pPr>
    </w:p>
    <w:p w:rsidR="00220136" w:rsidRDefault="00220136" w:rsidP="00220136">
      <w:r>
        <w:t>Se estudiará la teoría y la práctica mediante presentaciones orales a cargo del docente, lecturas y discusión de literatura actualizada. Además se realizarán trabajos de laboratorio con apoyo de técnicos radiólogos con más de cinco años de experiencia en equipos multicorte.</w:t>
      </w:r>
    </w:p>
    <w:p w:rsidR="00220136" w:rsidRDefault="00220136" w:rsidP="00220136"/>
    <w:p w:rsidR="00220136" w:rsidRDefault="00220136" w:rsidP="00220136">
      <w:r>
        <w:t>Evaluación: el alumno será evaluado de la siguiente manera:</w:t>
      </w:r>
    </w:p>
    <w:p w:rsidR="00220136" w:rsidRDefault="00220136" w:rsidP="00220136">
      <w:r>
        <w:t>Mediante dos exámenes escritos sobre el contenido teórico de la materia (70% de la nota final).</w:t>
      </w:r>
    </w:p>
    <w:p w:rsidR="00220136" w:rsidRDefault="00220136" w:rsidP="00220136">
      <w:r>
        <w:t>Examen teórico-práctico de laboratorio (30% de la nota final)</w:t>
      </w:r>
    </w:p>
    <w:p w:rsidR="00220136" w:rsidRDefault="00220136" w:rsidP="00220136"/>
    <w:p w:rsidR="00220136" w:rsidRDefault="00220136" w:rsidP="00220136">
      <w:pPr>
        <w:rPr>
          <w:b/>
        </w:rPr>
      </w:pPr>
      <w:r w:rsidRPr="00EC4FB8">
        <w:rPr>
          <w:b/>
        </w:rPr>
        <w:t>Condiciones de regularidad tras el cursado</w:t>
      </w:r>
    </w:p>
    <w:p w:rsidR="00220136" w:rsidRDefault="00220136" w:rsidP="00220136">
      <w:pPr>
        <w:rPr>
          <w:b/>
        </w:rPr>
      </w:pPr>
    </w:p>
    <w:p w:rsidR="00220136" w:rsidRDefault="00220136" w:rsidP="00220136">
      <w:r>
        <w:t>Son requisitos para que un alumno sea considerado regular: aprobar las dos evaluaciones escritas y el examen de laboratorio, cada uno con una nota igual o superior a 6 (seis)</w:t>
      </w:r>
    </w:p>
    <w:p w:rsidR="00220136" w:rsidRDefault="00220136" w:rsidP="00220136"/>
    <w:p w:rsidR="00220136" w:rsidRDefault="00220136" w:rsidP="00220136"/>
    <w:p w:rsidR="00220136" w:rsidRDefault="00220136" w:rsidP="00220136"/>
    <w:p w:rsidR="00220136" w:rsidRDefault="00220136" w:rsidP="00220136"/>
    <w:p w:rsidR="00220136" w:rsidRDefault="00220136" w:rsidP="00220136">
      <w:pPr>
        <w:rPr>
          <w:b/>
        </w:rPr>
      </w:pPr>
      <w:r w:rsidRPr="009F320F">
        <w:rPr>
          <w:b/>
        </w:rPr>
        <w:t>Selección de alumnos</w:t>
      </w:r>
    </w:p>
    <w:p w:rsidR="00220136" w:rsidRDefault="00220136" w:rsidP="00220136">
      <w:r>
        <w:t>Se habilitará la inscripción para técnicos y para médicos. En el caso de los médicos tomarán el mismo curso sin realizar las prácticas correspondientes, por lo que se les brindará un certificado según las horas que dure su cursado.</w:t>
      </w:r>
    </w:p>
    <w:p w:rsidR="00220136" w:rsidRDefault="00220136" w:rsidP="00220136">
      <w:r>
        <w:t xml:space="preserve">La selección de los alumnos se llevará a cabo entre los profesionales de FUESMEN destinados a este fin y dos profesionales de </w:t>
      </w:r>
      <w:smartTag w:uri="urn:schemas-microsoft-com:office:smarttags" w:element="PersonName">
        <w:smartTagPr>
          <w:attr w:name="ProductID" w:val="la ETAS"/>
        </w:smartTagPr>
        <w:r>
          <w:t>la ETAS</w:t>
        </w:r>
      </w:smartTag>
      <w:r>
        <w:t xml:space="preserve"> designados por el Director de la misma, y se realizará de acuerdo al orden de méritos.</w:t>
      </w:r>
    </w:p>
    <w:p w:rsidR="00467478" w:rsidRPr="00220136" w:rsidRDefault="00467478" w:rsidP="00467478"/>
    <w:p w:rsidR="00467478" w:rsidRPr="00467478" w:rsidRDefault="00467478" w:rsidP="00467478">
      <w:pPr>
        <w:rPr>
          <w:lang w:val="es-ES"/>
        </w:rPr>
      </w:pPr>
    </w:p>
    <w:p w:rsidR="00467478" w:rsidRPr="00467478" w:rsidRDefault="00467478" w:rsidP="00467478">
      <w:pPr>
        <w:rPr>
          <w:lang w:val="es-ES"/>
        </w:rPr>
      </w:pPr>
    </w:p>
    <w:p w:rsidR="00467478" w:rsidRPr="00467478" w:rsidRDefault="00467478" w:rsidP="00467478">
      <w:pPr>
        <w:rPr>
          <w:lang w:val="es-ES"/>
        </w:rPr>
      </w:pPr>
    </w:p>
    <w:p w:rsidR="00467478" w:rsidRPr="00467478" w:rsidRDefault="00467478" w:rsidP="00467478">
      <w:pPr>
        <w:rPr>
          <w:lang w:val="es-ES"/>
        </w:rPr>
      </w:pPr>
    </w:p>
    <w:p w:rsidR="00467478" w:rsidRDefault="00467478" w:rsidP="00467478">
      <w:pPr>
        <w:rPr>
          <w:lang w:val="es-ES"/>
        </w:rPr>
      </w:pPr>
    </w:p>
    <w:p w:rsidR="00D817CA" w:rsidRPr="00467478" w:rsidRDefault="00467478" w:rsidP="00467478">
      <w:pPr>
        <w:tabs>
          <w:tab w:val="left" w:pos="2805"/>
        </w:tabs>
        <w:rPr>
          <w:lang w:val="es-ES"/>
        </w:rPr>
      </w:pPr>
      <w:r>
        <w:rPr>
          <w:lang w:val="es-ES"/>
        </w:rPr>
        <w:tab/>
      </w:r>
    </w:p>
    <w:sectPr w:rsidR="00D817CA" w:rsidRPr="00467478" w:rsidSect="003E2CA2">
      <w:headerReference w:type="default" r:id="rId8"/>
      <w:pgSz w:w="11906" w:h="16838" w:code="9"/>
      <w:pgMar w:top="1843" w:right="1701" w:bottom="1418"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EF5" w:rsidRDefault="005E6EF5">
      <w:r>
        <w:separator/>
      </w:r>
    </w:p>
  </w:endnote>
  <w:endnote w:type="continuationSeparator" w:id="1">
    <w:p w:rsidR="005E6EF5" w:rsidRDefault="005E6EF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utiger-Roman">
    <w:panose1 w:val="00000000000000000000"/>
    <w:charset w:val="00"/>
    <w:family w:val="auto"/>
    <w:notTrueType/>
    <w:pitch w:val="variable"/>
    <w:sig w:usb0="00000003" w:usb1="00000000" w:usb2="00000000" w:usb3="00000000" w:csb0="00000001" w:csb1="00000000"/>
  </w:font>
  <w:font w:name="Frutiger LT Std 55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EF5" w:rsidRDefault="005E6EF5">
      <w:r>
        <w:separator/>
      </w:r>
    </w:p>
  </w:footnote>
  <w:footnote w:type="continuationSeparator" w:id="1">
    <w:p w:rsidR="005E6EF5" w:rsidRDefault="005E6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CA2" w:rsidRDefault="00467478">
    <w:pPr>
      <w:pStyle w:val="Encabezado"/>
    </w:pPr>
    <w:r>
      <w:rPr>
        <w:noProof/>
        <w:lang w:val="es-ES"/>
      </w:rPr>
      <w:pict>
        <v:shapetype id="_x0000_t202" coordsize="21600,21600" o:spt="202" path="m,l,21600r21600,l21600,xe">
          <v:stroke joinstyle="miter"/>
          <v:path gradientshapeok="t" o:connecttype="rect"/>
        </v:shapetype>
        <v:shape id="_x0000_s2051" type="#_x0000_t202" style="position:absolute;margin-left:374.9pt;margin-top:28.35pt;width:108pt;height:32pt;z-index:251658240;mso-width-relative:margin;mso-height-relative:margin" stroked="f">
          <v:textbox style="mso-next-textbox:#_x0000_s2051">
            <w:txbxContent>
              <w:p w:rsidR="00467478" w:rsidRDefault="00467478" w:rsidP="00467478">
                <w:pPr>
                  <w:numPr>
                    <w:ilvl w:val="0"/>
                    <w:numId w:val="1"/>
                  </w:numPr>
                  <w:ind w:left="284" w:hanging="208"/>
                  <w:rPr>
                    <w:rFonts w:ascii="Calibri" w:hAnsi="Calibri"/>
                    <w:b/>
                    <w:sz w:val="16"/>
                    <w:szCs w:val="16"/>
                    <w:lang w:val="es-ES"/>
                  </w:rPr>
                </w:pPr>
                <w:r>
                  <w:rPr>
                    <w:rFonts w:ascii="Frutiger LT Std 55 Roman" w:hAnsi="Frutiger LT Std 55 Roman"/>
                    <w:b/>
                    <w:color w:val="000000"/>
                    <w:w w:val="90"/>
                    <w:sz w:val="16"/>
                    <w:szCs w:val="16"/>
                  </w:rPr>
                  <w:t>2017</w:t>
                </w:r>
              </w:p>
              <w:p w:rsidR="00467478" w:rsidRDefault="00467478" w:rsidP="00467478">
                <w:pPr>
                  <w:ind w:left="284" w:right="-8998"/>
                  <w:rPr>
                    <w:rFonts w:ascii="Frutiger LT Std 55 Roman" w:hAnsi="Frutiger LT Std 55 Roman"/>
                    <w:color w:val="000000"/>
                    <w:w w:val="90"/>
                    <w:sz w:val="14"/>
                    <w:szCs w:val="14"/>
                    <w:lang w:val="es-ES" w:eastAsia="es-MX"/>
                  </w:rPr>
                </w:pPr>
                <w:r>
                  <w:rPr>
                    <w:rFonts w:ascii="Frutiger LT Std 55 Roman" w:hAnsi="Frutiger LT Std 55 Roman"/>
                    <w:color w:val="000000"/>
                    <w:w w:val="90"/>
                    <w:sz w:val="14"/>
                    <w:szCs w:val="14"/>
                    <w:lang w:val="es-ES" w:eastAsia="es-MX"/>
                  </w:rPr>
                  <w:t>AÑO DE LAS ENERGÍAS</w:t>
                </w:r>
              </w:p>
              <w:p w:rsidR="00467478" w:rsidRPr="007001E5" w:rsidRDefault="00467478" w:rsidP="00467478">
                <w:pPr>
                  <w:ind w:left="284" w:right="-8998"/>
                  <w:rPr>
                    <w:rFonts w:ascii="Calibri" w:hAnsi="Calibri"/>
                    <w:b/>
                    <w:sz w:val="16"/>
                    <w:szCs w:val="16"/>
                  </w:rPr>
                </w:pPr>
                <w:r>
                  <w:rPr>
                    <w:rFonts w:ascii="Frutiger LT Std 55 Roman" w:hAnsi="Frutiger LT Std 55 Roman"/>
                    <w:color w:val="000000"/>
                    <w:w w:val="90"/>
                    <w:sz w:val="14"/>
                    <w:szCs w:val="14"/>
                    <w:lang w:val="es-ES" w:eastAsia="es-MX"/>
                  </w:rPr>
                  <w:t>RENOVABLES</w:t>
                </w:r>
              </w:p>
              <w:p w:rsidR="00467478" w:rsidRPr="007001E5" w:rsidRDefault="00467478" w:rsidP="00467478">
                <w:pPr>
                  <w:ind w:left="284" w:right="-8998"/>
                  <w:rPr>
                    <w:rFonts w:ascii="Calibri" w:hAnsi="Calibri"/>
                    <w:b/>
                    <w:sz w:val="16"/>
                    <w:szCs w:val="16"/>
                  </w:rPr>
                </w:pPr>
              </w:p>
            </w:txbxContent>
          </v:textbox>
        </v:shape>
      </w:pict>
    </w:r>
    <w:r w:rsidR="00220136">
      <w:rPr>
        <w:noProof/>
        <w:lang w:eastAsia="es-AR"/>
      </w:rPr>
      <w:drawing>
        <wp:anchor distT="0" distB="0" distL="114300" distR="114300" simplePos="0" relativeHeight="251657216" behindDoc="0" locked="0" layoutInCell="1" allowOverlap="1">
          <wp:simplePos x="0" y="0"/>
          <wp:positionH relativeFrom="column">
            <wp:posOffset>-409575</wp:posOffset>
          </wp:positionH>
          <wp:positionV relativeFrom="paragraph">
            <wp:posOffset>255270</wp:posOffset>
          </wp:positionV>
          <wp:extent cx="3457575" cy="504825"/>
          <wp:effectExtent l="19050" t="0" r="9525" b="0"/>
          <wp:wrapSquare wrapText="bothSides"/>
          <wp:docPr id="2" name="Imagen 2" descr="logo-uncuyo-fc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cuyo-fcm-color"/>
                  <pic:cNvPicPr>
                    <a:picLocks noChangeAspect="1" noChangeArrowheads="1"/>
                  </pic:cNvPicPr>
                </pic:nvPicPr>
                <pic:blipFill>
                  <a:blip r:embed="rId1"/>
                  <a:srcRect/>
                  <a:stretch>
                    <a:fillRect/>
                  </a:stretch>
                </pic:blipFill>
                <pic:spPr bwMode="auto">
                  <a:xfrm>
                    <a:off x="0" y="0"/>
                    <a:ext cx="3457575" cy="504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D5148"/>
    <w:multiLevelType w:val="hybridMultilevel"/>
    <w:tmpl w:val="0A3A8E0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3284518"/>
    <w:multiLevelType w:val="hybridMultilevel"/>
    <w:tmpl w:val="E5E06E0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42B0D70"/>
    <w:multiLevelType w:val="hybridMultilevel"/>
    <w:tmpl w:val="55F05A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D92380C"/>
    <w:multiLevelType w:val="hybridMultilevel"/>
    <w:tmpl w:val="BEB4A27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FE569C3"/>
    <w:multiLevelType w:val="hybridMultilevel"/>
    <w:tmpl w:val="55E82E1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657749E"/>
    <w:multiLevelType w:val="hybridMultilevel"/>
    <w:tmpl w:val="55669C0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B7B2433"/>
    <w:multiLevelType w:val="hybridMultilevel"/>
    <w:tmpl w:val="ADB6BD10"/>
    <w:lvl w:ilvl="0" w:tplc="7730F834">
      <w:start w:val="2013"/>
      <w:numFmt w:val="bullet"/>
      <w:lvlText w:val=""/>
      <w:lvlJc w:val="left"/>
      <w:pPr>
        <w:ind w:left="360" w:hanging="360"/>
      </w:pPr>
      <w:rPr>
        <w:rFonts w:ascii="Wingdings 3" w:eastAsia="Frutiger-Roman" w:hAnsi="Wingdings 3" w:cs="Frutiger-Roman"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BDF5E5D"/>
    <w:multiLevelType w:val="hybridMultilevel"/>
    <w:tmpl w:val="CAD6E72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F0B1463"/>
    <w:multiLevelType w:val="hybridMultilevel"/>
    <w:tmpl w:val="B67EB85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5"/>
  </w:num>
  <w:num w:numId="6">
    <w:abstractNumId w:val="4"/>
  </w:num>
  <w:num w:numId="7">
    <w:abstractNumId w:val="7"/>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817CA"/>
    <w:rsid w:val="00077DA8"/>
    <w:rsid w:val="001523F6"/>
    <w:rsid w:val="00220136"/>
    <w:rsid w:val="00273EB3"/>
    <w:rsid w:val="0028363D"/>
    <w:rsid w:val="002E763A"/>
    <w:rsid w:val="00384AB5"/>
    <w:rsid w:val="003E2CA2"/>
    <w:rsid w:val="00403BC4"/>
    <w:rsid w:val="00467478"/>
    <w:rsid w:val="004A6D39"/>
    <w:rsid w:val="005A585C"/>
    <w:rsid w:val="005C3008"/>
    <w:rsid w:val="005E6EF5"/>
    <w:rsid w:val="006A25FB"/>
    <w:rsid w:val="007001E5"/>
    <w:rsid w:val="007A0EC7"/>
    <w:rsid w:val="007B46E0"/>
    <w:rsid w:val="007D4EFA"/>
    <w:rsid w:val="00840AE2"/>
    <w:rsid w:val="00843FC4"/>
    <w:rsid w:val="008B4FCD"/>
    <w:rsid w:val="009508BB"/>
    <w:rsid w:val="009F1054"/>
    <w:rsid w:val="00A65F3A"/>
    <w:rsid w:val="00AC01AF"/>
    <w:rsid w:val="00B36764"/>
    <w:rsid w:val="00B671D7"/>
    <w:rsid w:val="00C80941"/>
    <w:rsid w:val="00D6080C"/>
    <w:rsid w:val="00D817CA"/>
    <w:rsid w:val="00E25AA2"/>
    <w:rsid w:val="00E26072"/>
    <w:rsid w:val="00FB2B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7CA"/>
    <w:rPr>
      <w:sz w:val="24"/>
      <w:szCs w:val="24"/>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D817CA"/>
    <w:pPr>
      <w:tabs>
        <w:tab w:val="center" w:pos="4252"/>
        <w:tab w:val="right" w:pos="8504"/>
      </w:tabs>
    </w:pPr>
  </w:style>
  <w:style w:type="character" w:customStyle="1" w:styleId="EncabezadoCar">
    <w:name w:val="Encabezado Car"/>
    <w:link w:val="Encabezado"/>
    <w:semiHidden/>
    <w:locked/>
    <w:rsid w:val="00D817CA"/>
    <w:rPr>
      <w:sz w:val="24"/>
      <w:szCs w:val="24"/>
      <w:lang w:val="es-AR" w:eastAsia="es-ES" w:bidi="ar-SA"/>
    </w:rPr>
  </w:style>
  <w:style w:type="paragraph" w:styleId="Piedepgina">
    <w:name w:val="footer"/>
    <w:basedOn w:val="Normal"/>
    <w:rsid w:val="007D4EF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ABCC-B9A4-401C-8D62-1965DBA7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cmercuri</dc:creator>
  <cp:lastModifiedBy>Juan</cp:lastModifiedBy>
  <cp:revision>2</cp:revision>
  <cp:lastPrinted>2017-05-17T15:02:00Z</cp:lastPrinted>
  <dcterms:created xsi:type="dcterms:W3CDTF">2017-09-12T21:21:00Z</dcterms:created>
  <dcterms:modified xsi:type="dcterms:W3CDTF">2017-09-12T21:21:00Z</dcterms:modified>
</cp:coreProperties>
</file>