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DF" w:rsidRPr="002C6DDF" w:rsidRDefault="00D24176" w:rsidP="002C6DDF">
      <w:pPr>
        <w:spacing w:after="0" w:line="360" w:lineRule="auto"/>
        <w:rPr>
          <w:rFonts w:eastAsia="Times New Roman" w:cstheme="minorHAnsi"/>
          <w:bCs/>
          <w:sz w:val="28"/>
          <w:szCs w:val="24"/>
          <w:lang w:val="es-AR" w:eastAsia="es-ES"/>
        </w:rPr>
      </w:pPr>
      <w:r w:rsidRPr="00D24176">
        <w:rPr>
          <w:rFonts w:eastAsia="Times New Roman" w:cstheme="minorHAnsi"/>
          <w:bCs/>
          <w:sz w:val="28"/>
          <w:szCs w:val="24"/>
          <w:lang w:val="es-AR" w:eastAsia="es-ES"/>
        </w:rPr>
        <w:t>Epistemología de las Ciencias de la salud</w:t>
      </w:r>
    </w:p>
    <w:p w:rsidR="00D24176" w:rsidRPr="00D24176" w:rsidRDefault="002C6DDF" w:rsidP="002C6DDF">
      <w:pPr>
        <w:spacing w:after="0" w:line="360" w:lineRule="auto"/>
        <w:rPr>
          <w:rFonts w:asciiTheme="majorHAnsi" w:eastAsia="Times New Roman" w:hAnsiTheme="majorHAnsi" w:cstheme="majorHAnsi"/>
          <w:i/>
          <w:sz w:val="28"/>
          <w:szCs w:val="24"/>
          <w:lang w:eastAsia="es-ES"/>
        </w:rPr>
      </w:pPr>
      <w:r w:rsidRPr="002C6DDF">
        <w:rPr>
          <w:rFonts w:asciiTheme="majorHAnsi" w:eastAsia="Times New Roman" w:hAnsiTheme="majorHAnsi" w:cstheme="majorHAnsi"/>
          <w:bCs/>
          <w:i/>
          <w:sz w:val="28"/>
          <w:szCs w:val="24"/>
          <w:lang w:val="es-AR" w:eastAsia="es-ES"/>
        </w:rPr>
        <w:t>8 al 30 de abril de 2020</w:t>
      </w:r>
    </w:p>
    <w:p w:rsidR="00D24176" w:rsidRPr="00D24176" w:rsidRDefault="00D24176" w:rsidP="002C6DDF">
      <w:pPr>
        <w:spacing w:after="0" w:line="360" w:lineRule="auto"/>
        <w:rPr>
          <w:rFonts w:eastAsia="Times New Roman" w:cstheme="minorHAnsi"/>
          <w:sz w:val="24"/>
          <w:szCs w:val="24"/>
          <w:lang w:eastAsia="es-ES"/>
        </w:rPr>
      </w:pPr>
      <w:r w:rsidRPr="00D24176">
        <w:rPr>
          <w:rFonts w:eastAsia="Times New Roman" w:cstheme="minorHAnsi"/>
          <w:sz w:val="24"/>
          <w:szCs w:val="24"/>
          <w:lang w:val="es-AR" w:eastAsia="es-ES"/>
        </w:rPr>
        <w:t> </w:t>
      </w:r>
      <w:r w:rsidRPr="00D24176">
        <w:rPr>
          <w:rFonts w:eastAsia="Times New Roman" w:cstheme="minorHAnsi"/>
          <w:sz w:val="24"/>
          <w:szCs w:val="24"/>
          <w:lang w:eastAsia="es-ES"/>
        </w:rPr>
        <w:t> </w:t>
      </w:r>
    </w:p>
    <w:p w:rsidR="00D24176" w:rsidRPr="00D24176" w:rsidRDefault="00D24176" w:rsidP="002C6DDF">
      <w:pPr>
        <w:spacing w:after="0" w:line="360" w:lineRule="auto"/>
        <w:rPr>
          <w:rFonts w:eastAsia="Times New Roman" w:cstheme="minorHAnsi"/>
          <w:b/>
          <w:sz w:val="24"/>
          <w:szCs w:val="24"/>
          <w:lang w:eastAsia="es-ES"/>
        </w:rPr>
      </w:pPr>
      <w:r w:rsidRPr="00D24176">
        <w:rPr>
          <w:rFonts w:eastAsia="Times New Roman" w:cstheme="minorHAnsi"/>
          <w:b/>
          <w:sz w:val="24"/>
          <w:szCs w:val="24"/>
          <w:lang w:val="es-AR" w:eastAsia="es-ES"/>
        </w:rPr>
        <w:t>Objetivos</w:t>
      </w:r>
    </w:p>
    <w:p w:rsidR="00D24176" w:rsidRPr="00D24176" w:rsidRDefault="00D24176" w:rsidP="002C6DDF">
      <w:pPr>
        <w:spacing w:after="0" w:line="360" w:lineRule="auto"/>
        <w:ind w:left="708"/>
        <w:jc w:val="both"/>
        <w:rPr>
          <w:rFonts w:eastAsia="Times New Roman" w:cstheme="minorHAnsi"/>
          <w:sz w:val="20"/>
          <w:szCs w:val="24"/>
          <w:lang w:eastAsia="es-ES"/>
        </w:rPr>
      </w:pPr>
      <w:r w:rsidRPr="00D24176">
        <w:rPr>
          <w:rFonts w:eastAsia="Times New Roman" w:cstheme="minorHAnsi"/>
          <w:bCs/>
          <w:sz w:val="20"/>
          <w:szCs w:val="24"/>
          <w:lang w:val="es-AR" w:eastAsia="es-ES"/>
        </w:rPr>
        <w:t>- Identificar y problematizar los supuestos ontológicos, epistemológicos y metodológicos del conocimiento científico.</w:t>
      </w:r>
    </w:p>
    <w:p w:rsidR="00D24176" w:rsidRPr="00D24176" w:rsidRDefault="00D24176" w:rsidP="002C6DDF">
      <w:pPr>
        <w:spacing w:after="0" w:line="360" w:lineRule="auto"/>
        <w:ind w:left="708"/>
        <w:jc w:val="both"/>
        <w:rPr>
          <w:rFonts w:eastAsia="Times New Roman" w:cstheme="minorHAnsi"/>
          <w:sz w:val="20"/>
          <w:szCs w:val="24"/>
          <w:lang w:eastAsia="es-ES"/>
        </w:rPr>
      </w:pPr>
      <w:r w:rsidRPr="00D24176">
        <w:rPr>
          <w:rFonts w:eastAsia="Times New Roman" w:cstheme="minorHAnsi"/>
          <w:bCs/>
          <w:sz w:val="20"/>
          <w:szCs w:val="24"/>
          <w:lang w:val="es-AR" w:eastAsia="es-ES"/>
        </w:rPr>
        <w:t xml:space="preserve">- </w:t>
      </w:r>
      <w:proofErr w:type="spellStart"/>
      <w:r w:rsidRPr="00D24176">
        <w:rPr>
          <w:rFonts w:eastAsia="Times New Roman" w:cstheme="minorHAnsi"/>
          <w:bCs/>
          <w:sz w:val="20"/>
          <w:szCs w:val="24"/>
          <w:lang w:val="es-AR" w:eastAsia="es-ES"/>
        </w:rPr>
        <w:t>Deconstruir</w:t>
      </w:r>
      <w:proofErr w:type="spellEnd"/>
      <w:r w:rsidRPr="00D24176">
        <w:rPr>
          <w:rFonts w:eastAsia="Times New Roman" w:cstheme="minorHAnsi"/>
          <w:bCs/>
          <w:sz w:val="20"/>
          <w:szCs w:val="24"/>
          <w:lang w:val="es-AR" w:eastAsia="es-ES"/>
        </w:rPr>
        <w:t xml:space="preserve"> históricamente los modelos vigentes en las disciplinas científicas.</w:t>
      </w:r>
    </w:p>
    <w:p w:rsidR="00D24176" w:rsidRPr="00D24176" w:rsidRDefault="00D24176" w:rsidP="002C6DDF">
      <w:pPr>
        <w:spacing w:after="0" w:line="360" w:lineRule="auto"/>
        <w:ind w:left="708"/>
        <w:jc w:val="both"/>
        <w:rPr>
          <w:rFonts w:eastAsia="Times New Roman" w:cstheme="minorHAnsi"/>
          <w:sz w:val="20"/>
          <w:szCs w:val="24"/>
          <w:lang w:eastAsia="es-ES"/>
        </w:rPr>
      </w:pPr>
      <w:r w:rsidRPr="00D24176">
        <w:rPr>
          <w:rFonts w:eastAsia="Times New Roman" w:cstheme="minorHAnsi"/>
          <w:bCs/>
          <w:sz w:val="20"/>
          <w:szCs w:val="24"/>
          <w:lang w:val="es-AR" w:eastAsia="es-ES"/>
        </w:rPr>
        <w:t xml:space="preserve">- Revisar críticamente obstáculos epistemológicos tales como las dicotomías sujeto / objeto, teoría / praxis, sociedad / naturaleza, reduccionismo / complejidad, normal / patológico, epistemología / metodología, especialización / </w:t>
      </w:r>
      <w:proofErr w:type="spellStart"/>
      <w:r w:rsidRPr="00D24176">
        <w:rPr>
          <w:rFonts w:eastAsia="Times New Roman" w:cstheme="minorHAnsi"/>
          <w:bCs/>
          <w:sz w:val="20"/>
          <w:szCs w:val="24"/>
          <w:lang w:val="es-AR" w:eastAsia="es-ES"/>
        </w:rPr>
        <w:t>interdisciplina</w:t>
      </w:r>
      <w:proofErr w:type="spellEnd"/>
      <w:r w:rsidRPr="00D24176">
        <w:rPr>
          <w:rFonts w:eastAsia="Times New Roman" w:cstheme="minorHAnsi"/>
          <w:bCs/>
          <w:sz w:val="20"/>
          <w:szCs w:val="24"/>
          <w:lang w:val="es-AR" w:eastAsia="es-ES"/>
        </w:rPr>
        <w:t>.</w:t>
      </w:r>
    </w:p>
    <w:p w:rsidR="00D24176" w:rsidRPr="00D24176" w:rsidRDefault="00D24176" w:rsidP="002C6DDF">
      <w:pPr>
        <w:spacing w:after="0" w:line="360" w:lineRule="auto"/>
        <w:ind w:left="708"/>
        <w:jc w:val="both"/>
        <w:rPr>
          <w:rFonts w:eastAsia="Times New Roman" w:cstheme="minorHAnsi"/>
          <w:sz w:val="20"/>
          <w:szCs w:val="24"/>
          <w:lang w:eastAsia="es-ES"/>
        </w:rPr>
      </w:pPr>
      <w:r w:rsidRPr="00D24176">
        <w:rPr>
          <w:rFonts w:eastAsia="Times New Roman" w:cstheme="minorHAnsi"/>
          <w:bCs/>
          <w:sz w:val="20"/>
          <w:szCs w:val="24"/>
          <w:lang w:val="es-AR" w:eastAsia="es-ES"/>
        </w:rPr>
        <w:t>- Reconocer la importancia de la contextualización histórica, social, geopolítica y de género en la producción del conocimiento científico.</w:t>
      </w:r>
    </w:p>
    <w:p w:rsidR="00D24176" w:rsidRPr="00D24176" w:rsidRDefault="00D24176" w:rsidP="002C6DDF">
      <w:pPr>
        <w:spacing w:after="0" w:line="360" w:lineRule="auto"/>
        <w:ind w:left="708"/>
        <w:jc w:val="both"/>
        <w:rPr>
          <w:rFonts w:eastAsia="Times New Roman" w:cstheme="minorHAnsi"/>
          <w:sz w:val="20"/>
          <w:szCs w:val="24"/>
          <w:lang w:eastAsia="es-ES"/>
        </w:rPr>
      </w:pPr>
      <w:r w:rsidRPr="00D24176">
        <w:rPr>
          <w:rFonts w:eastAsia="Times New Roman" w:cstheme="minorHAnsi"/>
          <w:bCs/>
          <w:sz w:val="20"/>
          <w:szCs w:val="24"/>
          <w:lang w:val="es-AR" w:eastAsia="es-ES"/>
        </w:rPr>
        <w:t>- Reflexionar acerca de la propia práctica de producción de conocimiento.</w:t>
      </w:r>
    </w:p>
    <w:p w:rsidR="00D24176" w:rsidRPr="00D24176" w:rsidRDefault="00D24176" w:rsidP="002C6DDF">
      <w:pPr>
        <w:spacing w:after="0" w:line="360" w:lineRule="auto"/>
        <w:ind w:left="708"/>
        <w:jc w:val="both"/>
        <w:rPr>
          <w:rFonts w:eastAsia="Times New Roman" w:cstheme="minorHAnsi"/>
          <w:sz w:val="20"/>
          <w:szCs w:val="24"/>
          <w:lang w:eastAsia="es-ES"/>
        </w:rPr>
      </w:pPr>
      <w:r w:rsidRPr="00D24176">
        <w:rPr>
          <w:rFonts w:eastAsia="Times New Roman" w:cstheme="minorHAnsi"/>
          <w:bCs/>
          <w:sz w:val="20"/>
          <w:szCs w:val="24"/>
          <w:lang w:val="es-AR" w:eastAsia="es-ES"/>
        </w:rPr>
        <w:t>- Establecer correspondencia entre el marco teórico, objetivos de investigación y diseño metodológico.</w:t>
      </w:r>
    </w:p>
    <w:p w:rsidR="00D24176" w:rsidRPr="00D24176" w:rsidRDefault="00D24176" w:rsidP="002C6DDF">
      <w:pPr>
        <w:spacing w:after="0" w:line="360" w:lineRule="auto"/>
        <w:rPr>
          <w:rFonts w:eastAsia="Times New Roman" w:cstheme="minorHAnsi"/>
          <w:sz w:val="24"/>
          <w:szCs w:val="24"/>
          <w:lang w:eastAsia="es-ES"/>
        </w:rPr>
      </w:pPr>
      <w:r w:rsidRPr="00D24176">
        <w:rPr>
          <w:rFonts w:eastAsia="Times New Roman" w:cstheme="minorHAnsi"/>
          <w:sz w:val="24"/>
          <w:szCs w:val="24"/>
          <w:lang w:val="es-AR" w:eastAsia="es-ES"/>
        </w:rPr>
        <w:t> </w:t>
      </w:r>
    </w:p>
    <w:p w:rsidR="00D105D9" w:rsidRPr="00D105D9" w:rsidRDefault="00D24176" w:rsidP="002C6DDF">
      <w:pPr>
        <w:spacing w:after="0" w:line="360" w:lineRule="auto"/>
        <w:rPr>
          <w:rFonts w:eastAsia="Times New Roman" w:cstheme="minorHAnsi"/>
          <w:b/>
          <w:sz w:val="24"/>
          <w:szCs w:val="24"/>
          <w:lang w:val="es-AR" w:eastAsia="es-ES"/>
        </w:rPr>
      </w:pPr>
      <w:r w:rsidRPr="00D24176">
        <w:rPr>
          <w:rFonts w:eastAsia="Times New Roman" w:cstheme="minorHAnsi"/>
          <w:b/>
          <w:sz w:val="24"/>
          <w:szCs w:val="24"/>
          <w:lang w:val="es-AR" w:eastAsia="es-ES"/>
        </w:rPr>
        <w:t>Modalidad de Trabajo</w:t>
      </w:r>
    </w:p>
    <w:p w:rsidR="00D24176" w:rsidRPr="00D24176" w:rsidRDefault="00D24176" w:rsidP="002C6DDF">
      <w:pPr>
        <w:spacing w:after="0" w:line="360" w:lineRule="auto"/>
        <w:ind w:left="708"/>
        <w:rPr>
          <w:rFonts w:eastAsia="Times New Roman" w:cstheme="minorHAnsi"/>
          <w:sz w:val="20"/>
          <w:szCs w:val="24"/>
          <w:lang w:eastAsia="es-ES"/>
        </w:rPr>
      </w:pPr>
      <w:r w:rsidRPr="00D24176">
        <w:rPr>
          <w:rFonts w:eastAsia="Times New Roman" w:cstheme="minorHAnsi"/>
          <w:bCs/>
          <w:sz w:val="20"/>
          <w:szCs w:val="24"/>
          <w:lang w:val="es-AR" w:eastAsia="es-ES"/>
        </w:rPr>
        <w:t xml:space="preserve">Semipresencial (virtual [5 horas] 6 al 10 de </w:t>
      </w:r>
      <w:proofErr w:type="gramStart"/>
      <w:r w:rsidRPr="00D24176">
        <w:rPr>
          <w:rFonts w:eastAsia="Times New Roman" w:cstheme="minorHAnsi"/>
          <w:bCs/>
          <w:sz w:val="20"/>
          <w:szCs w:val="24"/>
          <w:lang w:val="es-AR" w:eastAsia="es-ES"/>
        </w:rPr>
        <w:t>Abril</w:t>
      </w:r>
      <w:proofErr w:type="gramEnd"/>
      <w:r w:rsidRPr="00D24176">
        <w:rPr>
          <w:rFonts w:eastAsia="Times New Roman" w:cstheme="minorHAnsi"/>
          <w:bCs/>
          <w:sz w:val="20"/>
          <w:szCs w:val="24"/>
          <w:lang w:val="es-AR" w:eastAsia="es-ES"/>
        </w:rPr>
        <w:t>, presencial 8, 15, 16, 22, 23 29 y 30 de Abril de 2020).</w:t>
      </w:r>
    </w:p>
    <w:p w:rsidR="00D24176" w:rsidRPr="00D24176" w:rsidRDefault="00D24176" w:rsidP="002C6DDF">
      <w:pPr>
        <w:spacing w:after="0" w:line="360" w:lineRule="auto"/>
        <w:rPr>
          <w:rFonts w:eastAsia="Times New Roman" w:cstheme="minorHAnsi"/>
          <w:sz w:val="24"/>
          <w:szCs w:val="24"/>
          <w:lang w:eastAsia="es-ES"/>
        </w:rPr>
      </w:pPr>
      <w:r w:rsidRPr="00D24176">
        <w:rPr>
          <w:rFonts w:eastAsia="Times New Roman" w:cstheme="minorHAnsi"/>
          <w:sz w:val="24"/>
          <w:szCs w:val="24"/>
          <w:lang w:val="es-AR" w:eastAsia="es-ES"/>
        </w:rPr>
        <w:t> </w:t>
      </w:r>
    </w:p>
    <w:p w:rsidR="00D24176" w:rsidRDefault="00D24176" w:rsidP="002C6DDF">
      <w:pPr>
        <w:spacing w:after="0" w:line="360" w:lineRule="auto"/>
        <w:ind w:left="708"/>
        <w:jc w:val="both"/>
        <w:rPr>
          <w:rFonts w:eastAsia="Times New Roman" w:cstheme="minorHAnsi"/>
          <w:bCs/>
          <w:sz w:val="20"/>
          <w:szCs w:val="24"/>
          <w:lang w:val="es-AR" w:eastAsia="es-ES"/>
        </w:rPr>
      </w:pPr>
      <w:r w:rsidRPr="00D24176">
        <w:rPr>
          <w:rFonts w:eastAsia="Times New Roman" w:cstheme="minorHAnsi"/>
          <w:bCs/>
          <w:i/>
          <w:iCs/>
          <w:sz w:val="20"/>
          <w:szCs w:val="24"/>
          <w:lang w:val="es-AR" w:eastAsia="es-ES"/>
        </w:rPr>
        <w:t>Los encuentros presenciales</w:t>
      </w:r>
      <w:r w:rsidRPr="00D24176">
        <w:rPr>
          <w:rFonts w:eastAsia="Times New Roman" w:cstheme="minorHAnsi"/>
          <w:bCs/>
          <w:sz w:val="20"/>
          <w:szCs w:val="24"/>
          <w:lang w:val="es-AR" w:eastAsia="es-ES"/>
        </w:rPr>
        <w:t> se desarrollarán conjugando técnicas de exposición y técnicas dialógicas del tipo “comunidad de indagación”, sobre la base de documentos especialmente preparados para cada bloque y/o selecciones de textos.</w:t>
      </w:r>
    </w:p>
    <w:p w:rsidR="00D105D9" w:rsidRPr="00D24176" w:rsidRDefault="00D105D9" w:rsidP="002C6DDF">
      <w:pPr>
        <w:spacing w:after="0" w:line="360" w:lineRule="auto"/>
        <w:ind w:left="708"/>
        <w:jc w:val="both"/>
        <w:rPr>
          <w:rFonts w:eastAsia="Times New Roman" w:cstheme="minorHAnsi"/>
          <w:sz w:val="20"/>
          <w:szCs w:val="24"/>
          <w:lang w:eastAsia="es-ES"/>
        </w:rPr>
      </w:pPr>
    </w:p>
    <w:p w:rsidR="00D24176" w:rsidRDefault="00D24176" w:rsidP="002C6DDF">
      <w:pPr>
        <w:spacing w:after="0" w:line="360" w:lineRule="auto"/>
        <w:ind w:left="708"/>
        <w:jc w:val="both"/>
        <w:rPr>
          <w:rFonts w:eastAsia="Times New Roman" w:cstheme="minorHAnsi"/>
          <w:bCs/>
          <w:sz w:val="20"/>
          <w:szCs w:val="24"/>
          <w:lang w:val="es-AR" w:eastAsia="es-ES"/>
        </w:rPr>
      </w:pPr>
      <w:r w:rsidRPr="00D24176">
        <w:rPr>
          <w:rFonts w:eastAsia="Times New Roman" w:cstheme="minorHAnsi"/>
          <w:bCs/>
          <w:sz w:val="20"/>
          <w:szCs w:val="24"/>
          <w:lang w:val="es-AR" w:eastAsia="es-ES"/>
        </w:rPr>
        <w:t>Para cada uno de los temas se prevén actividades prácticas y producciones grupales y/o personales, que serán realizadas por los cursantes a partir de los materiales ofrecidos a través del espacio virtual.</w:t>
      </w:r>
    </w:p>
    <w:p w:rsidR="00D105D9" w:rsidRPr="00D24176" w:rsidRDefault="00D105D9" w:rsidP="002C6DDF">
      <w:pPr>
        <w:spacing w:after="0" w:line="360" w:lineRule="auto"/>
        <w:ind w:left="708"/>
        <w:jc w:val="both"/>
        <w:rPr>
          <w:rFonts w:eastAsia="Times New Roman" w:cstheme="minorHAnsi"/>
          <w:sz w:val="20"/>
          <w:szCs w:val="24"/>
          <w:lang w:eastAsia="es-ES"/>
        </w:rPr>
      </w:pPr>
    </w:p>
    <w:p w:rsidR="00D24176" w:rsidRDefault="00D24176" w:rsidP="002C6DDF">
      <w:pPr>
        <w:spacing w:after="0" w:line="360" w:lineRule="auto"/>
        <w:ind w:left="708"/>
        <w:jc w:val="both"/>
        <w:rPr>
          <w:rFonts w:eastAsia="Times New Roman" w:cstheme="minorHAnsi"/>
          <w:bCs/>
          <w:sz w:val="20"/>
          <w:szCs w:val="24"/>
          <w:lang w:val="es-AR" w:eastAsia="es-ES"/>
        </w:rPr>
      </w:pPr>
      <w:r w:rsidRPr="00D24176">
        <w:rPr>
          <w:rFonts w:eastAsia="Times New Roman" w:cstheme="minorHAnsi"/>
          <w:bCs/>
          <w:i/>
          <w:iCs/>
          <w:sz w:val="20"/>
          <w:szCs w:val="24"/>
          <w:lang w:val="es-AR" w:eastAsia="es-ES"/>
        </w:rPr>
        <w:t>Las actividades no presenciales</w:t>
      </w:r>
      <w:r w:rsidRPr="00D24176">
        <w:rPr>
          <w:rFonts w:eastAsia="Times New Roman" w:cstheme="minorHAnsi"/>
          <w:bCs/>
          <w:sz w:val="20"/>
          <w:szCs w:val="24"/>
          <w:lang w:val="es-AR" w:eastAsia="es-ES"/>
        </w:rPr>
        <w:t> consisten en el análisis de películas a partir de conceptualizaciones desarrolladas en las clases. El análisis se realizará en base a cuestionarios/guías de interpretación. La evaluación de estas actividades se realizará mediante la puesta en común de las interpretaciones. </w:t>
      </w:r>
    </w:p>
    <w:p w:rsidR="00D105D9" w:rsidRPr="00D24176" w:rsidRDefault="00D105D9" w:rsidP="002C6DDF">
      <w:pPr>
        <w:spacing w:after="0" w:line="360" w:lineRule="auto"/>
        <w:ind w:left="708"/>
        <w:jc w:val="both"/>
        <w:rPr>
          <w:rFonts w:eastAsia="Times New Roman" w:cstheme="minorHAnsi"/>
          <w:sz w:val="20"/>
          <w:szCs w:val="24"/>
          <w:lang w:eastAsia="es-ES"/>
        </w:rPr>
      </w:pPr>
    </w:p>
    <w:p w:rsidR="00D24176" w:rsidRPr="00D24176" w:rsidRDefault="00D24176" w:rsidP="002C6DDF">
      <w:pPr>
        <w:spacing w:after="0" w:line="360" w:lineRule="auto"/>
        <w:ind w:left="708"/>
        <w:jc w:val="both"/>
        <w:rPr>
          <w:rFonts w:eastAsia="Times New Roman" w:cstheme="minorHAnsi"/>
          <w:sz w:val="20"/>
          <w:szCs w:val="24"/>
          <w:lang w:eastAsia="es-ES"/>
        </w:rPr>
      </w:pPr>
      <w:r w:rsidRPr="00D24176">
        <w:rPr>
          <w:rFonts w:eastAsia="Times New Roman" w:cstheme="minorHAnsi"/>
          <w:bCs/>
          <w:i/>
          <w:iCs/>
          <w:sz w:val="20"/>
          <w:szCs w:val="24"/>
          <w:lang w:val="es-AR" w:eastAsia="es-ES"/>
        </w:rPr>
        <w:lastRenderedPageBreak/>
        <w:t>Los encuentros tutoriales</w:t>
      </w:r>
      <w:r w:rsidRPr="00D24176">
        <w:rPr>
          <w:rFonts w:eastAsia="Times New Roman" w:cstheme="minorHAnsi"/>
          <w:bCs/>
          <w:sz w:val="20"/>
          <w:szCs w:val="24"/>
          <w:lang w:val="es-AR" w:eastAsia="es-ES"/>
        </w:rPr>
        <w:t> podrán realizarse a través de encuentros presenciales o por los medios disponibles </w:t>
      </w:r>
      <w:r w:rsidRPr="00D24176">
        <w:rPr>
          <w:rFonts w:eastAsia="Times New Roman" w:cstheme="minorHAnsi"/>
          <w:bCs/>
          <w:i/>
          <w:iCs/>
          <w:sz w:val="20"/>
          <w:szCs w:val="24"/>
          <w:lang w:val="es-AR" w:eastAsia="es-ES"/>
        </w:rPr>
        <w:t>online</w:t>
      </w:r>
      <w:r w:rsidRPr="00D24176">
        <w:rPr>
          <w:rFonts w:eastAsia="Times New Roman" w:cstheme="minorHAnsi"/>
          <w:bCs/>
          <w:sz w:val="20"/>
          <w:szCs w:val="24"/>
          <w:lang w:val="es-AR" w:eastAsia="es-ES"/>
        </w:rPr>
        <w:t>: correo electrónico, chat, grupo de discusión, etc. </w:t>
      </w:r>
      <w:r w:rsidRPr="00D24176">
        <w:rPr>
          <w:rFonts w:eastAsia="Times New Roman" w:cstheme="minorHAnsi"/>
          <w:bCs/>
          <w:sz w:val="20"/>
          <w:szCs w:val="24"/>
          <w:lang w:eastAsia="es-ES"/>
        </w:rPr>
        <w:t>Están vinculadas a la preparación del trabajo final.</w:t>
      </w:r>
    </w:p>
    <w:p w:rsidR="00D105D9" w:rsidRPr="00D105D9" w:rsidRDefault="00D24176" w:rsidP="002C6DDF">
      <w:pPr>
        <w:spacing w:after="0" w:line="360" w:lineRule="auto"/>
        <w:rPr>
          <w:rFonts w:eastAsia="Times New Roman" w:cstheme="minorHAnsi"/>
          <w:b/>
          <w:sz w:val="24"/>
          <w:szCs w:val="24"/>
          <w:lang w:val="es-AR" w:eastAsia="es-ES"/>
        </w:rPr>
      </w:pPr>
      <w:r w:rsidRPr="00D24176">
        <w:rPr>
          <w:rFonts w:eastAsia="Times New Roman" w:cstheme="minorHAnsi"/>
          <w:sz w:val="24"/>
          <w:szCs w:val="24"/>
          <w:lang w:val="es-AR" w:eastAsia="es-ES"/>
        </w:rPr>
        <w:t> </w:t>
      </w:r>
      <w:r w:rsidRPr="00D24176">
        <w:rPr>
          <w:rFonts w:eastAsia="Times New Roman" w:cstheme="minorHAnsi"/>
          <w:b/>
          <w:sz w:val="24"/>
          <w:szCs w:val="24"/>
          <w:lang w:val="es-AR" w:eastAsia="es-ES"/>
        </w:rPr>
        <w:t>Lugar</w:t>
      </w:r>
    </w:p>
    <w:p w:rsidR="00D24176" w:rsidRPr="00D24176" w:rsidRDefault="00D24176" w:rsidP="002C6DDF">
      <w:pPr>
        <w:spacing w:after="0" w:line="360" w:lineRule="auto"/>
        <w:ind w:left="708"/>
        <w:rPr>
          <w:rFonts w:eastAsia="Times New Roman" w:cstheme="minorHAnsi"/>
          <w:sz w:val="24"/>
          <w:szCs w:val="24"/>
          <w:lang w:eastAsia="es-ES"/>
        </w:rPr>
      </w:pPr>
      <w:r w:rsidRPr="00D24176">
        <w:rPr>
          <w:rFonts w:eastAsia="Times New Roman" w:cstheme="minorHAnsi"/>
          <w:bCs/>
          <w:sz w:val="24"/>
          <w:szCs w:val="24"/>
          <w:lang w:val="es-AR" w:eastAsia="es-ES"/>
        </w:rPr>
        <w:t xml:space="preserve">FCM, </w:t>
      </w:r>
      <w:proofErr w:type="spellStart"/>
      <w:r w:rsidRPr="00D24176">
        <w:rPr>
          <w:rFonts w:eastAsia="Times New Roman" w:cstheme="minorHAnsi"/>
          <w:bCs/>
          <w:sz w:val="24"/>
          <w:szCs w:val="24"/>
          <w:lang w:val="es-AR" w:eastAsia="es-ES"/>
        </w:rPr>
        <w:t>UNCuyo</w:t>
      </w:r>
      <w:proofErr w:type="spellEnd"/>
    </w:p>
    <w:p w:rsidR="00D24176" w:rsidRPr="00D24176" w:rsidRDefault="00D24176" w:rsidP="002C6DDF">
      <w:pPr>
        <w:spacing w:after="0" w:line="360" w:lineRule="auto"/>
        <w:rPr>
          <w:rFonts w:eastAsia="Times New Roman" w:cstheme="minorHAnsi"/>
          <w:sz w:val="24"/>
          <w:szCs w:val="24"/>
          <w:lang w:eastAsia="es-ES"/>
        </w:rPr>
      </w:pPr>
      <w:r w:rsidRPr="00D24176">
        <w:rPr>
          <w:rFonts w:eastAsia="Times New Roman" w:cstheme="minorHAnsi"/>
          <w:sz w:val="24"/>
          <w:szCs w:val="24"/>
          <w:lang w:val="es-AR" w:eastAsia="es-ES"/>
        </w:rPr>
        <w:t> </w:t>
      </w:r>
    </w:p>
    <w:p w:rsidR="00D24176" w:rsidRPr="00D24176" w:rsidRDefault="00D24176" w:rsidP="002C6DDF">
      <w:pPr>
        <w:spacing w:after="0" w:line="360" w:lineRule="auto"/>
        <w:rPr>
          <w:rFonts w:eastAsia="Times New Roman" w:cstheme="minorHAnsi"/>
          <w:b/>
          <w:sz w:val="24"/>
          <w:szCs w:val="24"/>
          <w:lang w:eastAsia="es-ES"/>
        </w:rPr>
      </w:pPr>
      <w:r w:rsidRPr="00D24176">
        <w:rPr>
          <w:rFonts w:eastAsia="Times New Roman" w:cstheme="minorHAnsi"/>
          <w:b/>
          <w:sz w:val="24"/>
          <w:szCs w:val="24"/>
          <w:lang w:val="es-AR" w:eastAsia="es-ES"/>
        </w:rPr>
        <w:t>Contenidos</w:t>
      </w:r>
    </w:p>
    <w:p w:rsidR="00D24176" w:rsidRDefault="00720C57" w:rsidP="002C6DDF">
      <w:pPr>
        <w:spacing w:after="0" w:line="360" w:lineRule="auto"/>
        <w:ind w:left="708"/>
        <w:jc w:val="both"/>
        <w:rPr>
          <w:rFonts w:eastAsia="Times New Roman" w:cstheme="minorHAnsi"/>
          <w:i/>
          <w:sz w:val="24"/>
          <w:szCs w:val="24"/>
          <w:lang w:eastAsia="es-ES"/>
        </w:rPr>
      </w:pPr>
      <w:r>
        <w:rPr>
          <w:rFonts w:eastAsia="Times New Roman" w:cstheme="minorHAnsi"/>
          <w:bCs/>
          <w:sz w:val="24"/>
          <w:szCs w:val="24"/>
          <w:lang w:eastAsia="es-ES"/>
        </w:rPr>
        <w:t xml:space="preserve">I </w:t>
      </w:r>
      <w:r w:rsidR="00D24176" w:rsidRPr="00D24176">
        <w:rPr>
          <w:rFonts w:eastAsia="Times New Roman" w:cstheme="minorHAnsi"/>
          <w:bCs/>
          <w:sz w:val="24"/>
          <w:szCs w:val="24"/>
          <w:lang w:eastAsia="es-ES"/>
        </w:rPr>
        <w:t>Primera unidad temática</w:t>
      </w:r>
      <w:r w:rsidR="00D105D9">
        <w:rPr>
          <w:rFonts w:eastAsia="Times New Roman" w:cstheme="minorHAnsi"/>
          <w:bCs/>
          <w:sz w:val="24"/>
          <w:szCs w:val="24"/>
          <w:lang w:eastAsia="es-ES"/>
        </w:rPr>
        <w:t xml:space="preserve"> | </w:t>
      </w:r>
      <w:r w:rsidR="00D24176" w:rsidRPr="00D24176">
        <w:rPr>
          <w:rFonts w:eastAsia="Times New Roman" w:cstheme="minorHAnsi"/>
          <w:i/>
          <w:sz w:val="24"/>
          <w:szCs w:val="24"/>
          <w:lang w:eastAsia="es-ES"/>
        </w:rPr>
        <w:t xml:space="preserve">Dra. Adriana </w:t>
      </w:r>
      <w:proofErr w:type="spellStart"/>
      <w:r w:rsidR="00D24176" w:rsidRPr="00D24176">
        <w:rPr>
          <w:rFonts w:eastAsia="Times New Roman" w:cstheme="minorHAnsi"/>
          <w:i/>
          <w:sz w:val="24"/>
          <w:szCs w:val="24"/>
          <w:lang w:eastAsia="es-ES"/>
        </w:rPr>
        <w:t>Arpini</w:t>
      </w:r>
      <w:proofErr w:type="spellEnd"/>
    </w:p>
    <w:p w:rsidR="00D105D9" w:rsidRDefault="00D105D9" w:rsidP="002C6DDF">
      <w:pPr>
        <w:spacing w:after="0" w:line="360" w:lineRule="auto"/>
        <w:ind w:left="708"/>
        <w:jc w:val="both"/>
        <w:rPr>
          <w:rFonts w:eastAsia="Times New Roman" w:cstheme="minorHAnsi"/>
          <w:b/>
          <w:i/>
          <w:iCs/>
          <w:sz w:val="24"/>
          <w:szCs w:val="24"/>
          <w:lang w:val="es-AR" w:eastAsia="es-ES"/>
        </w:rPr>
      </w:pPr>
    </w:p>
    <w:p w:rsidR="00D24176" w:rsidRDefault="00D24176" w:rsidP="008062D6">
      <w:pPr>
        <w:spacing w:after="0" w:line="360" w:lineRule="auto"/>
        <w:ind w:left="708"/>
        <w:jc w:val="both"/>
        <w:rPr>
          <w:rFonts w:eastAsia="Times New Roman" w:cstheme="minorHAnsi"/>
          <w:b/>
          <w:i/>
          <w:iCs/>
          <w:sz w:val="24"/>
          <w:szCs w:val="24"/>
          <w:lang w:val="es-AR" w:eastAsia="es-ES"/>
        </w:rPr>
      </w:pPr>
      <w:r w:rsidRPr="00D24176">
        <w:rPr>
          <w:rFonts w:eastAsia="Times New Roman" w:cstheme="minorHAnsi"/>
          <w:b/>
          <w:i/>
          <w:iCs/>
          <w:sz w:val="24"/>
          <w:szCs w:val="24"/>
          <w:lang w:val="es-AR" w:eastAsia="es-ES"/>
        </w:rPr>
        <w:t>¿En qué consiste el saber propio de las ciencias?</w:t>
      </w:r>
    </w:p>
    <w:p w:rsidR="00D105D9" w:rsidRPr="00D24176" w:rsidRDefault="00D105D9" w:rsidP="008062D6">
      <w:pPr>
        <w:spacing w:after="0" w:line="360" w:lineRule="auto"/>
        <w:ind w:left="708"/>
        <w:jc w:val="both"/>
        <w:rPr>
          <w:rFonts w:eastAsia="Times New Roman" w:cstheme="minorHAnsi"/>
          <w:b/>
          <w:sz w:val="24"/>
          <w:szCs w:val="24"/>
          <w:lang w:eastAsia="es-ES"/>
        </w:rPr>
      </w:pPr>
    </w:p>
    <w:p w:rsidR="00D24176" w:rsidRDefault="00D24176" w:rsidP="008062D6">
      <w:pPr>
        <w:spacing w:after="0" w:line="360" w:lineRule="auto"/>
        <w:ind w:left="708"/>
        <w:jc w:val="both"/>
        <w:rPr>
          <w:rFonts w:eastAsia="Times New Roman" w:cstheme="minorHAnsi"/>
          <w:sz w:val="24"/>
          <w:szCs w:val="24"/>
          <w:lang w:val="es-AR" w:eastAsia="es-ES"/>
        </w:rPr>
      </w:pPr>
      <w:r w:rsidRPr="00D24176">
        <w:rPr>
          <w:rFonts w:eastAsia="Times New Roman" w:cstheme="minorHAnsi"/>
          <w:sz w:val="20"/>
          <w:szCs w:val="24"/>
          <w:lang w:val="es-AR" w:eastAsia="es-ES"/>
        </w:rPr>
        <w:t xml:space="preserve">Supuestos ontológicos, epistemológicos y metodológicos de la investigación científica. Paradigmas </w:t>
      </w:r>
      <w:proofErr w:type="spellStart"/>
      <w:r w:rsidRPr="00D24176">
        <w:rPr>
          <w:rFonts w:eastAsia="Times New Roman" w:cstheme="minorHAnsi"/>
          <w:sz w:val="20"/>
          <w:szCs w:val="24"/>
          <w:lang w:val="es-AR" w:eastAsia="es-ES"/>
        </w:rPr>
        <w:t>epocales</w:t>
      </w:r>
      <w:proofErr w:type="spellEnd"/>
      <w:r w:rsidRPr="00D24176">
        <w:rPr>
          <w:rFonts w:eastAsia="Times New Roman" w:cstheme="minorHAnsi"/>
          <w:sz w:val="20"/>
          <w:szCs w:val="24"/>
          <w:lang w:val="es-AR" w:eastAsia="es-ES"/>
        </w:rPr>
        <w:t xml:space="preserve">: pre-moderno, moderno, pos-moderno. El conocimiento como representación. La crítica inmanente a la modernidad. Tradiciones epistemológicas del siglo XX: de la “concepción heredada” a la “ciencia ampliada a lo histórico-social”. Complejidad e </w:t>
      </w:r>
      <w:proofErr w:type="spellStart"/>
      <w:r w:rsidRPr="00D24176">
        <w:rPr>
          <w:rFonts w:eastAsia="Times New Roman" w:cstheme="minorHAnsi"/>
          <w:sz w:val="20"/>
          <w:szCs w:val="24"/>
          <w:lang w:val="es-AR" w:eastAsia="es-ES"/>
        </w:rPr>
        <w:t>interdisciplina</w:t>
      </w:r>
      <w:proofErr w:type="spellEnd"/>
      <w:r w:rsidRPr="00D24176">
        <w:rPr>
          <w:rFonts w:eastAsia="Times New Roman" w:cstheme="minorHAnsi"/>
          <w:sz w:val="20"/>
          <w:szCs w:val="24"/>
          <w:lang w:val="es-AR" w:eastAsia="es-ES"/>
        </w:rPr>
        <w:t>. Ecología de saberes. Consecuencias metodológicas: monismo, dualismo, pluralismo</w:t>
      </w:r>
      <w:r w:rsidRPr="00D24176">
        <w:rPr>
          <w:rFonts w:eastAsia="Times New Roman" w:cstheme="minorHAnsi"/>
          <w:sz w:val="24"/>
          <w:szCs w:val="24"/>
          <w:lang w:val="es-AR" w:eastAsia="es-ES"/>
        </w:rPr>
        <w:t>.</w:t>
      </w:r>
    </w:p>
    <w:p w:rsidR="00D105D9" w:rsidRPr="00D24176" w:rsidRDefault="00D105D9" w:rsidP="002C6DDF">
      <w:pPr>
        <w:spacing w:after="0" w:line="360" w:lineRule="auto"/>
        <w:ind w:left="1416"/>
        <w:jc w:val="both"/>
        <w:rPr>
          <w:rFonts w:eastAsia="Times New Roman" w:cstheme="minorHAnsi"/>
          <w:sz w:val="24"/>
          <w:szCs w:val="24"/>
          <w:lang w:eastAsia="es-ES"/>
        </w:rPr>
      </w:pPr>
    </w:p>
    <w:p w:rsidR="00D24176" w:rsidRPr="00D24176" w:rsidRDefault="00720C57" w:rsidP="002C6DDF">
      <w:pPr>
        <w:spacing w:after="0" w:line="360" w:lineRule="auto"/>
        <w:ind w:left="708"/>
        <w:rPr>
          <w:rFonts w:eastAsia="Times New Roman" w:cstheme="minorHAnsi"/>
          <w:i/>
          <w:color w:val="00000A"/>
          <w:sz w:val="24"/>
          <w:szCs w:val="24"/>
          <w:lang w:eastAsia="es-ES"/>
        </w:rPr>
      </w:pPr>
      <w:r>
        <w:rPr>
          <w:rFonts w:eastAsia="Times New Roman" w:cstheme="minorHAnsi"/>
          <w:bCs/>
          <w:color w:val="00000A"/>
          <w:sz w:val="24"/>
          <w:szCs w:val="24"/>
          <w:lang w:eastAsia="es-ES"/>
        </w:rPr>
        <w:t xml:space="preserve">II </w:t>
      </w:r>
      <w:r w:rsidR="00D24176" w:rsidRPr="00D24176">
        <w:rPr>
          <w:rFonts w:eastAsia="Times New Roman" w:cstheme="minorHAnsi"/>
          <w:bCs/>
          <w:color w:val="00000A"/>
          <w:sz w:val="24"/>
          <w:szCs w:val="24"/>
          <w:lang w:eastAsia="es-ES"/>
        </w:rPr>
        <w:t>Segunda unidad temática</w:t>
      </w:r>
      <w:r w:rsidR="00D105D9">
        <w:rPr>
          <w:rFonts w:eastAsia="Times New Roman" w:cstheme="minorHAnsi"/>
          <w:bCs/>
          <w:color w:val="00000A"/>
          <w:sz w:val="24"/>
          <w:szCs w:val="24"/>
          <w:lang w:eastAsia="es-ES"/>
        </w:rPr>
        <w:t xml:space="preserve"> | </w:t>
      </w:r>
      <w:r w:rsidR="00D24176" w:rsidRPr="00D24176">
        <w:rPr>
          <w:rFonts w:eastAsia="Times New Roman" w:cstheme="minorHAnsi"/>
          <w:i/>
          <w:color w:val="00000A"/>
          <w:sz w:val="24"/>
          <w:szCs w:val="24"/>
          <w:lang w:eastAsia="es-ES"/>
        </w:rPr>
        <w:t xml:space="preserve">Dra. Natalia </w:t>
      </w:r>
      <w:proofErr w:type="spellStart"/>
      <w:r w:rsidR="00D24176" w:rsidRPr="00D24176">
        <w:rPr>
          <w:rFonts w:eastAsia="Times New Roman" w:cstheme="minorHAnsi"/>
          <w:i/>
          <w:color w:val="00000A"/>
          <w:sz w:val="24"/>
          <w:szCs w:val="24"/>
          <w:lang w:eastAsia="es-ES"/>
        </w:rPr>
        <w:t>Fischetti</w:t>
      </w:r>
      <w:proofErr w:type="spellEnd"/>
    </w:p>
    <w:p w:rsidR="00D105D9" w:rsidRDefault="00D24176" w:rsidP="008062D6">
      <w:pPr>
        <w:spacing w:before="100" w:beforeAutospacing="1" w:after="0" w:line="360" w:lineRule="auto"/>
        <w:ind w:left="708"/>
        <w:rPr>
          <w:rFonts w:eastAsia="Times New Roman" w:cstheme="minorHAnsi"/>
          <w:b/>
          <w:iCs/>
          <w:sz w:val="24"/>
          <w:szCs w:val="24"/>
          <w:lang w:eastAsia="es-ES"/>
        </w:rPr>
      </w:pPr>
      <w:r w:rsidRPr="00D24176">
        <w:rPr>
          <w:rFonts w:eastAsia="Times New Roman" w:cstheme="minorHAnsi"/>
          <w:b/>
          <w:iCs/>
          <w:sz w:val="24"/>
          <w:szCs w:val="24"/>
          <w:lang w:eastAsia="es-ES"/>
        </w:rPr>
        <w:t>Epistemología crítica de la salud</w:t>
      </w:r>
    </w:p>
    <w:p w:rsidR="00D24176" w:rsidRDefault="00D24176" w:rsidP="008062D6">
      <w:pPr>
        <w:spacing w:before="100" w:beforeAutospacing="1" w:after="0" w:line="360" w:lineRule="auto"/>
        <w:ind w:left="708"/>
        <w:rPr>
          <w:rFonts w:eastAsia="Times New Roman" w:cstheme="minorHAnsi"/>
          <w:sz w:val="20"/>
          <w:szCs w:val="24"/>
          <w:lang w:eastAsia="es-ES"/>
        </w:rPr>
      </w:pPr>
      <w:r w:rsidRPr="00D24176">
        <w:rPr>
          <w:rFonts w:eastAsia="Times New Roman" w:cstheme="minorHAnsi"/>
          <w:sz w:val="20"/>
          <w:szCs w:val="24"/>
          <w:lang w:eastAsia="es-ES"/>
        </w:rPr>
        <w:t>Historia y filosofía crítica de la medicina. Las ciencias de la salud como objeto de conocimiento. El estatuto epistemológico de la medicina. Economía política de la medicina. La constitución de los conceptos de salud y enfermedad. Modelo de organización de la salud. Obstáculos epistemológicos</w:t>
      </w:r>
    </w:p>
    <w:p w:rsidR="00D105D9" w:rsidRPr="00D24176" w:rsidRDefault="00D105D9" w:rsidP="002C6DDF">
      <w:pPr>
        <w:spacing w:before="100" w:beforeAutospacing="1" w:after="0" w:line="360" w:lineRule="auto"/>
        <w:ind w:left="708"/>
        <w:rPr>
          <w:rFonts w:eastAsia="Times New Roman" w:cstheme="minorHAnsi"/>
          <w:sz w:val="20"/>
          <w:szCs w:val="24"/>
          <w:lang w:eastAsia="es-ES"/>
        </w:rPr>
      </w:pPr>
    </w:p>
    <w:p w:rsidR="00D24176" w:rsidRDefault="00720C57" w:rsidP="002C6DDF">
      <w:pPr>
        <w:spacing w:after="0" w:line="360" w:lineRule="auto"/>
        <w:ind w:left="708"/>
        <w:rPr>
          <w:rFonts w:eastAsia="Times New Roman" w:cstheme="minorHAnsi"/>
          <w:i/>
          <w:color w:val="00000A"/>
          <w:sz w:val="24"/>
          <w:szCs w:val="24"/>
          <w:lang w:eastAsia="es-ES"/>
        </w:rPr>
      </w:pPr>
      <w:r>
        <w:rPr>
          <w:rFonts w:eastAsia="Times New Roman" w:cstheme="minorHAnsi"/>
          <w:bCs/>
          <w:color w:val="00000A"/>
          <w:sz w:val="24"/>
          <w:szCs w:val="24"/>
          <w:lang w:eastAsia="es-ES"/>
        </w:rPr>
        <w:t xml:space="preserve">III </w:t>
      </w:r>
      <w:r w:rsidR="00D24176" w:rsidRPr="00D24176">
        <w:rPr>
          <w:rFonts w:eastAsia="Times New Roman" w:cstheme="minorHAnsi"/>
          <w:bCs/>
          <w:color w:val="00000A"/>
          <w:sz w:val="24"/>
          <w:szCs w:val="24"/>
          <w:lang w:eastAsia="es-ES"/>
        </w:rPr>
        <w:t>Tercera Unidad temática</w:t>
      </w:r>
      <w:r w:rsidR="00D105D9">
        <w:rPr>
          <w:rFonts w:eastAsia="Times New Roman" w:cstheme="minorHAnsi"/>
          <w:bCs/>
          <w:color w:val="00000A"/>
          <w:sz w:val="24"/>
          <w:szCs w:val="24"/>
          <w:lang w:eastAsia="es-ES"/>
        </w:rPr>
        <w:t xml:space="preserve"> | </w:t>
      </w:r>
      <w:r w:rsidR="00D24176" w:rsidRPr="00D24176">
        <w:rPr>
          <w:rFonts w:eastAsia="Times New Roman" w:cstheme="minorHAnsi"/>
          <w:i/>
          <w:color w:val="00000A"/>
          <w:sz w:val="24"/>
          <w:szCs w:val="24"/>
          <w:lang w:eastAsia="es-ES"/>
        </w:rPr>
        <w:t xml:space="preserve">Dra. Adriana </w:t>
      </w:r>
      <w:proofErr w:type="spellStart"/>
      <w:r w:rsidR="00D24176" w:rsidRPr="00D24176">
        <w:rPr>
          <w:rFonts w:eastAsia="Times New Roman" w:cstheme="minorHAnsi"/>
          <w:i/>
          <w:color w:val="00000A"/>
          <w:sz w:val="24"/>
          <w:szCs w:val="24"/>
          <w:lang w:eastAsia="es-ES"/>
        </w:rPr>
        <w:t>Arpini</w:t>
      </w:r>
      <w:proofErr w:type="spellEnd"/>
    </w:p>
    <w:p w:rsidR="00D105D9" w:rsidRPr="00D24176" w:rsidRDefault="00D105D9" w:rsidP="002C6DDF">
      <w:pPr>
        <w:spacing w:after="0" w:line="360" w:lineRule="auto"/>
        <w:ind w:left="708"/>
        <w:rPr>
          <w:rFonts w:eastAsia="Times New Roman" w:cstheme="minorHAnsi"/>
          <w:i/>
          <w:color w:val="00000A"/>
          <w:sz w:val="24"/>
          <w:szCs w:val="24"/>
          <w:lang w:eastAsia="es-ES"/>
        </w:rPr>
      </w:pPr>
    </w:p>
    <w:p w:rsidR="00D24176" w:rsidRDefault="00D24176" w:rsidP="008062D6">
      <w:pPr>
        <w:spacing w:after="0" w:line="360" w:lineRule="auto"/>
        <w:ind w:left="708"/>
        <w:jc w:val="both"/>
        <w:rPr>
          <w:rFonts w:eastAsia="Times New Roman" w:cstheme="minorHAnsi"/>
          <w:b/>
          <w:iCs/>
          <w:sz w:val="24"/>
          <w:szCs w:val="24"/>
          <w:lang w:val="es-AR" w:eastAsia="es-ES"/>
        </w:rPr>
      </w:pPr>
      <w:r w:rsidRPr="00D24176">
        <w:rPr>
          <w:rFonts w:eastAsia="Times New Roman" w:cstheme="minorHAnsi"/>
          <w:b/>
          <w:iCs/>
          <w:sz w:val="24"/>
          <w:szCs w:val="24"/>
          <w:lang w:val="es-AR" w:eastAsia="es-ES"/>
        </w:rPr>
        <w:t>Ciencias de la salud, sociedad y política de los saberes</w:t>
      </w:r>
    </w:p>
    <w:p w:rsidR="00D105D9" w:rsidRDefault="00D105D9" w:rsidP="008062D6">
      <w:pPr>
        <w:spacing w:after="0" w:line="360" w:lineRule="auto"/>
        <w:ind w:left="708"/>
        <w:jc w:val="both"/>
        <w:rPr>
          <w:rFonts w:eastAsia="Times New Roman" w:cstheme="minorHAnsi"/>
          <w:b/>
          <w:iCs/>
          <w:sz w:val="24"/>
          <w:szCs w:val="24"/>
          <w:lang w:val="es-AR" w:eastAsia="es-ES"/>
        </w:rPr>
      </w:pPr>
    </w:p>
    <w:p w:rsidR="00D24176" w:rsidRPr="00D24176" w:rsidRDefault="00D24176" w:rsidP="008062D6">
      <w:pPr>
        <w:spacing w:after="0" w:line="360" w:lineRule="auto"/>
        <w:ind w:left="708"/>
        <w:jc w:val="both"/>
        <w:rPr>
          <w:rFonts w:eastAsia="Times New Roman" w:cstheme="minorHAnsi"/>
          <w:sz w:val="20"/>
          <w:szCs w:val="24"/>
          <w:lang w:eastAsia="es-ES"/>
        </w:rPr>
      </w:pPr>
      <w:r w:rsidRPr="00D24176">
        <w:rPr>
          <w:rFonts w:eastAsia="Times New Roman" w:cstheme="minorHAnsi"/>
          <w:sz w:val="20"/>
          <w:szCs w:val="24"/>
          <w:lang w:val="es-AR" w:eastAsia="es-ES"/>
        </w:rPr>
        <w:lastRenderedPageBreak/>
        <w:t>La estructura de los Hospitales: del deber natural de </w:t>
      </w:r>
      <w:r w:rsidRPr="00D24176">
        <w:rPr>
          <w:rFonts w:eastAsia="Times New Roman" w:cstheme="minorHAnsi"/>
          <w:i/>
          <w:iCs/>
          <w:sz w:val="20"/>
          <w:szCs w:val="24"/>
          <w:lang w:val="es-AR" w:eastAsia="es-ES"/>
        </w:rPr>
        <w:t>compasión</w:t>
      </w:r>
      <w:r w:rsidRPr="00D24176">
        <w:rPr>
          <w:rFonts w:eastAsia="Times New Roman" w:cstheme="minorHAnsi"/>
          <w:sz w:val="20"/>
          <w:szCs w:val="24"/>
          <w:lang w:val="es-AR" w:eastAsia="es-ES"/>
        </w:rPr>
        <w:t> al deber social de </w:t>
      </w:r>
      <w:r w:rsidRPr="00D24176">
        <w:rPr>
          <w:rFonts w:eastAsia="Times New Roman" w:cstheme="minorHAnsi"/>
          <w:i/>
          <w:iCs/>
          <w:sz w:val="20"/>
          <w:szCs w:val="24"/>
          <w:lang w:val="es-AR" w:eastAsia="es-ES"/>
        </w:rPr>
        <w:t>asistencia</w:t>
      </w:r>
      <w:r w:rsidRPr="00D24176">
        <w:rPr>
          <w:rFonts w:eastAsia="Times New Roman" w:cstheme="minorHAnsi"/>
          <w:sz w:val="20"/>
          <w:szCs w:val="24"/>
          <w:lang w:val="es-AR" w:eastAsia="es-ES"/>
        </w:rPr>
        <w:t xml:space="preserve">. El ejercicio y la enseñanza de la medicina como derechos. </w:t>
      </w:r>
      <w:proofErr w:type="spellStart"/>
      <w:r w:rsidRPr="00D24176">
        <w:rPr>
          <w:rFonts w:eastAsia="Times New Roman" w:cstheme="minorHAnsi"/>
          <w:sz w:val="20"/>
          <w:szCs w:val="24"/>
          <w:lang w:val="es-AR" w:eastAsia="es-ES"/>
        </w:rPr>
        <w:t>Biopoder</w:t>
      </w:r>
      <w:proofErr w:type="spellEnd"/>
      <w:r w:rsidRPr="00D24176">
        <w:rPr>
          <w:rFonts w:eastAsia="Times New Roman" w:cstheme="minorHAnsi"/>
          <w:sz w:val="20"/>
          <w:szCs w:val="24"/>
          <w:lang w:val="es-AR" w:eastAsia="es-ES"/>
        </w:rPr>
        <w:t xml:space="preserve"> y </w:t>
      </w:r>
      <w:proofErr w:type="spellStart"/>
      <w:r w:rsidRPr="00D24176">
        <w:rPr>
          <w:rFonts w:eastAsia="Times New Roman" w:cstheme="minorHAnsi"/>
          <w:sz w:val="20"/>
          <w:szCs w:val="24"/>
          <w:lang w:val="es-AR" w:eastAsia="es-ES"/>
        </w:rPr>
        <w:t>Biopolítica</w:t>
      </w:r>
      <w:proofErr w:type="spellEnd"/>
      <w:r w:rsidRPr="00D24176">
        <w:rPr>
          <w:rFonts w:eastAsia="Times New Roman" w:cstheme="minorHAnsi"/>
          <w:sz w:val="20"/>
          <w:szCs w:val="24"/>
          <w:lang w:val="es-AR" w:eastAsia="es-ES"/>
        </w:rPr>
        <w:t xml:space="preserve">. Inmunidad y </w:t>
      </w:r>
      <w:proofErr w:type="spellStart"/>
      <w:r w:rsidRPr="00D24176">
        <w:rPr>
          <w:rFonts w:eastAsia="Times New Roman" w:cstheme="minorHAnsi"/>
          <w:sz w:val="20"/>
          <w:szCs w:val="24"/>
          <w:lang w:val="es-AR" w:eastAsia="es-ES"/>
        </w:rPr>
        <w:t>Tánatopolítica</w:t>
      </w:r>
      <w:proofErr w:type="spellEnd"/>
      <w:r w:rsidRPr="00D24176">
        <w:rPr>
          <w:rFonts w:eastAsia="Times New Roman" w:cstheme="minorHAnsi"/>
          <w:sz w:val="20"/>
          <w:szCs w:val="24"/>
          <w:lang w:val="es-AR" w:eastAsia="es-ES"/>
        </w:rPr>
        <w:t>. Lo normal y lo patológico. </w:t>
      </w:r>
      <w:r w:rsidRPr="00D24176">
        <w:rPr>
          <w:rFonts w:eastAsia="Times New Roman" w:cstheme="minorHAnsi"/>
          <w:sz w:val="20"/>
          <w:szCs w:val="24"/>
          <w:lang w:eastAsia="es-ES"/>
        </w:rPr>
        <w:t xml:space="preserve">Humanismo y </w:t>
      </w:r>
      <w:proofErr w:type="spellStart"/>
      <w:r w:rsidRPr="00D24176">
        <w:rPr>
          <w:rFonts w:eastAsia="Times New Roman" w:cstheme="minorHAnsi"/>
          <w:sz w:val="20"/>
          <w:szCs w:val="24"/>
          <w:lang w:eastAsia="es-ES"/>
        </w:rPr>
        <w:t>posthumanismo</w:t>
      </w:r>
      <w:proofErr w:type="spellEnd"/>
      <w:r w:rsidRPr="00D24176">
        <w:rPr>
          <w:rFonts w:eastAsia="Times New Roman" w:cstheme="minorHAnsi"/>
          <w:sz w:val="20"/>
          <w:szCs w:val="24"/>
          <w:lang w:eastAsia="es-ES"/>
        </w:rPr>
        <w:t>: </w:t>
      </w:r>
      <w:proofErr w:type="spellStart"/>
      <w:r w:rsidRPr="00D24176">
        <w:rPr>
          <w:rFonts w:eastAsia="Times New Roman" w:cstheme="minorHAnsi"/>
          <w:i/>
          <w:iCs/>
          <w:sz w:val="20"/>
          <w:szCs w:val="24"/>
          <w:lang w:eastAsia="es-ES"/>
        </w:rPr>
        <w:t>bios</w:t>
      </w:r>
      <w:proofErr w:type="spellEnd"/>
      <w:r w:rsidRPr="00D24176">
        <w:rPr>
          <w:rFonts w:eastAsia="Times New Roman" w:cstheme="minorHAnsi"/>
          <w:i/>
          <w:iCs/>
          <w:sz w:val="20"/>
          <w:szCs w:val="24"/>
          <w:lang w:eastAsia="es-ES"/>
        </w:rPr>
        <w:t> </w:t>
      </w:r>
      <w:r w:rsidRPr="00D24176">
        <w:rPr>
          <w:rFonts w:eastAsia="Times New Roman" w:cstheme="minorHAnsi"/>
          <w:sz w:val="20"/>
          <w:szCs w:val="24"/>
          <w:lang w:eastAsia="es-ES"/>
        </w:rPr>
        <w:t>y </w:t>
      </w:r>
      <w:proofErr w:type="spellStart"/>
      <w:r w:rsidRPr="00D24176">
        <w:rPr>
          <w:rFonts w:eastAsia="Times New Roman" w:cstheme="minorHAnsi"/>
          <w:i/>
          <w:iCs/>
          <w:sz w:val="20"/>
          <w:szCs w:val="24"/>
          <w:lang w:eastAsia="es-ES"/>
        </w:rPr>
        <w:t>zoe</w:t>
      </w:r>
      <w:proofErr w:type="spellEnd"/>
      <w:r w:rsidRPr="00D24176">
        <w:rPr>
          <w:rFonts w:eastAsia="Times New Roman" w:cstheme="minorHAnsi"/>
          <w:sz w:val="20"/>
          <w:szCs w:val="24"/>
          <w:lang w:eastAsia="es-ES"/>
        </w:rPr>
        <w:t>.</w:t>
      </w:r>
    </w:p>
    <w:p w:rsidR="00D105D9" w:rsidRDefault="00D105D9" w:rsidP="002C6DDF">
      <w:pPr>
        <w:spacing w:after="0" w:line="360" w:lineRule="auto"/>
        <w:ind w:left="708"/>
        <w:rPr>
          <w:rFonts w:eastAsia="Times New Roman" w:cstheme="minorHAnsi"/>
          <w:bCs/>
          <w:color w:val="00000A"/>
          <w:sz w:val="24"/>
          <w:szCs w:val="24"/>
          <w:lang w:val="es-AR" w:eastAsia="es-ES"/>
        </w:rPr>
      </w:pPr>
    </w:p>
    <w:p w:rsidR="00D24176" w:rsidRPr="00D24176" w:rsidRDefault="00720C57" w:rsidP="002C6DDF">
      <w:pPr>
        <w:spacing w:after="0" w:line="360" w:lineRule="auto"/>
        <w:ind w:left="708"/>
        <w:rPr>
          <w:rFonts w:eastAsia="Times New Roman" w:cstheme="minorHAnsi"/>
          <w:color w:val="00000A"/>
          <w:sz w:val="24"/>
          <w:szCs w:val="24"/>
          <w:lang w:eastAsia="es-ES"/>
        </w:rPr>
      </w:pPr>
      <w:r>
        <w:rPr>
          <w:rFonts w:eastAsia="Times New Roman" w:cstheme="minorHAnsi"/>
          <w:bCs/>
          <w:color w:val="00000A"/>
          <w:sz w:val="24"/>
          <w:szCs w:val="24"/>
          <w:lang w:val="es-AR" w:eastAsia="es-ES"/>
        </w:rPr>
        <w:t xml:space="preserve">IV </w:t>
      </w:r>
      <w:r w:rsidR="00D24176" w:rsidRPr="00D24176">
        <w:rPr>
          <w:rFonts w:eastAsia="Times New Roman" w:cstheme="minorHAnsi"/>
          <w:bCs/>
          <w:color w:val="00000A"/>
          <w:sz w:val="24"/>
          <w:szCs w:val="24"/>
          <w:lang w:val="es-AR" w:eastAsia="es-ES"/>
        </w:rPr>
        <w:t>Cuarta Unidad temática</w:t>
      </w:r>
      <w:r w:rsidR="00D105D9">
        <w:rPr>
          <w:rFonts w:eastAsia="Times New Roman" w:cstheme="minorHAnsi"/>
          <w:bCs/>
          <w:color w:val="00000A"/>
          <w:sz w:val="24"/>
          <w:szCs w:val="24"/>
          <w:lang w:val="es-AR" w:eastAsia="es-ES"/>
        </w:rPr>
        <w:t xml:space="preserve"> | D</w:t>
      </w:r>
      <w:r w:rsidR="00D24176" w:rsidRPr="00D24176">
        <w:rPr>
          <w:rFonts w:eastAsia="Times New Roman" w:cstheme="minorHAnsi"/>
          <w:color w:val="00000A"/>
          <w:sz w:val="24"/>
          <w:szCs w:val="24"/>
          <w:lang w:val="es-AR" w:eastAsia="es-ES"/>
        </w:rPr>
        <w:t xml:space="preserve">ra. Natalia </w:t>
      </w:r>
      <w:proofErr w:type="spellStart"/>
      <w:r w:rsidR="00D24176" w:rsidRPr="00D24176">
        <w:rPr>
          <w:rFonts w:eastAsia="Times New Roman" w:cstheme="minorHAnsi"/>
          <w:color w:val="00000A"/>
          <w:sz w:val="24"/>
          <w:szCs w:val="24"/>
          <w:lang w:val="es-AR" w:eastAsia="es-ES"/>
        </w:rPr>
        <w:t>Fischetti</w:t>
      </w:r>
      <w:proofErr w:type="spellEnd"/>
    </w:p>
    <w:p w:rsidR="00D105D9" w:rsidRDefault="00D105D9" w:rsidP="008062D6">
      <w:pPr>
        <w:spacing w:after="0" w:line="360" w:lineRule="auto"/>
        <w:ind w:left="708"/>
        <w:rPr>
          <w:rFonts w:eastAsia="Times New Roman" w:cstheme="minorHAnsi"/>
          <w:i/>
          <w:iCs/>
          <w:sz w:val="24"/>
          <w:szCs w:val="24"/>
          <w:lang w:eastAsia="es-ES"/>
        </w:rPr>
      </w:pPr>
      <w:bookmarkStart w:id="0" w:name="_GoBack"/>
      <w:bookmarkEnd w:id="0"/>
    </w:p>
    <w:p w:rsidR="00D24176" w:rsidRPr="00D24176" w:rsidRDefault="00D24176" w:rsidP="008062D6">
      <w:pPr>
        <w:spacing w:after="0" w:line="360" w:lineRule="auto"/>
        <w:ind w:left="708"/>
        <w:rPr>
          <w:rFonts w:eastAsia="Times New Roman" w:cstheme="minorHAnsi"/>
          <w:b/>
          <w:sz w:val="24"/>
          <w:szCs w:val="24"/>
          <w:lang w:eastAsia="es-ES"/>
        </w:rPr>
      </w:pPr>
      <w:r w:rsidRPr="00D24176">
        <w:rPr>
          <w:rFonts w:eastAsia="Times New Roman" w:cstheme="minorHAnsi"/>
          <w:b/>
          <w:iCs/>
          <w:sz w:val="24"/>
          <w:szCs w:val="24"/>
          <w:lang w:eastAsia="es-ES"/>
        </w:rPr>
        <w:t>Naturaleza y artificialidad</w:t>
      </w:r>
    </w:p>
    <w:p w:rsidR="00D24176" w:rsidRPr="00D24176" w:rsidRDefault="00D24176" w:rsidP="008062D6">
      <w:pPr>
        <w:spacing w:after="0" w:line="360" w:lineRule="auto"/>
        <w:ind w:left="708"/>
        <w:jc w:val="both"/>
        <w:rPr>
          <w:rFonts w:eastAsia="Times New Roman" w:cstheme="minorHAnsi"/>
          <w:sz w:val="20"/>
          <w:szCs w:val="24"/>
          <w:lang w:eastAsia="es-ES"/>
        </w:rPr>
      </w:pPr>
      <w:r w:rsidRPr="00D24176">
        <w:rPr>
          <w:rFonts w:eastAsia="Times New Roman" w:cstheme="minorHAnsi"/>
          <w:sz w:val="20"/>
          <w:szCs w:val="24"/>
          <w:lang w:eastAsia="es-ES"/>
        </w:rPr>
        <w:t xml:space="preserve">Debates filosóficos sobre las </w:t>
      </w:r>
      <w:proofErr w:type="spellStart"/>
      <w:r w:rsidRPr="00D24176">
        <w:rPr>
          <w:rFonts w:eastAsia="Times New Roman" w:cstheme="minorHAnsi"/>
          <w:sz w:val="20"/>
          <w:szCs w:val="24"/>
          <w:lang w:eastAsia="es-ES"/>
        </w:rPr>
        <w:t>biotecnociencias</w:t>
      </w:r>
      <w:proofErr w:type="spellEnd"/>
      <w:r w:rsidRPr="00D24176">
        <w:rPr>
          <w:rFonts w:eastAsia="Times New Roman" w:cstheme="minorHAnsi"/>
          <w:sz w:val="20"/>
          <w:szCs w:val="24"/>
          <w:lang w:eastAsia="es-ES"/>
        </w:rPr>
        <w:t>. Órgano y artefacto. Cuerpo y técnica. Reduccionismos y determinismos biológicos. Metáforas epistémicas.</w:t>
      </w:r>
    </w:p>
    <w:p w:rsidR="00D24176" w:rsidRPr="00D24176" w:rsidRDefault="00D24176" w:rsidP="002C6DDF">
      <w:pPr>
        <w:spacing w:after="0" w:line="360" w:lineRule="auto"/>
        <w:rPr>
          <w:rFonts w:eastAsia="Times New Roman" w:cstheme="minorHAnsi"/>
          <w:sz w:val="24"/>
          <w:szCs w:val="24"/>
          <w:lang w:eastAsia="es-ES"/>
        </w:rPr>
      </w:pPr>
      <w:r w:rsidRPr="00D24176">
        <w:rPr>
          <w:rFonts w:eastAsia="Times New Roman" w:cstheme="minorHAnsi"/>
          <w:sz w:val="24"/>
          <w:szCs w:val="24"/>
          <w:lang w:val="es-AR" w:eastAsia="es-ES"/>
        </w:rPr>
        <w:t> </w:t>
      </w:r>
    </w:p>
    <w:p w:rsidR="00D24176" w:rsidRPr="00D105D9" w:rsidRDefault="00D24176" w:rsidP="002C6DDF">
      <w:pPr>
        <w:spacing w:after="0" w:line="360" w:lineRule="auto"/>
        <w:rPr>
          <w:rFonts w:eastAsia="Times New Roman" w:cstheme="minorHAnsi"/>
          <w:b/>
          <w:sz w:val="24"/>
          <w:szCs w:val="24"/>
          <w:lang w:val="es-AR" w:eastAsia="es-ES"/>
        </w:rPr>
      </w:pPr>
      <w:r w:rsidRPr="00D24176">
        <w:rPr>
          <w:rFonts w:eastAsia="Times New Roman" w:cstheme="minorHAnsi"/>
          <w:b/>
          <w:sz w:val="24"/>
          <w:szCs w:val="24"/>
          <w:lang w:val="es-AR" w:eastAsia="es-ES"/>
        </w:rPr>
        <w:t>Forma de aprobación</w:t>
      </w:r>
    </w:p>
    <w:p w:rsidR="00D24176" w:rsidRPr="00D24176" w:rsidRDefault="00D24176" w:rsidP="002C6DDF">
      <w:pPr>
        <w:spacing w:after="0" w:line="360" w:lineRule="auto"/>
        <w:ind w:left="708"/>
        <w:jc w:val="both"/>
        <w:rPr>
          <w:rFonts w:eastAsia="Times New Roman" w:cstheme="minorHAnsi"/>
          <w:sz w:val="20"/>
          <w:szCs w:val="24"/>
          <w:lang w:eastAsia="es-ES"/>
        </w:rPr>
      </w:pPr>
      <w:r w:rsidRPr="00D24176">
        <w:rPr>
          <w:rFonts w:eastAsia="Times New Roman" w:cstheme="minorHAnsi"/>
          <w:b/>
          <w:bCs/>
          <w:i/>
          <w:iCs/>
          <w:sz w:val="20"/>
          <w:szCs w:val="24"/>
          <w:lang w:eastAsia="es-ES"/>
        </w:rPr>
        <w:t>Durante el proceso</w:t>
      </w:r>
      <w:r w:rsidRPr="00D24176">
        <w:rPr>
          <w:rFonts w:eastAsia="Times New Roman" w:cstheme="minorHAnsi"/>
          <w:b/>
          <w:bCs/>
          <w:sz w:val="20"/>
          <w:szCs w:val="24"/>
          <w:lang w:eastAsia="es-ES"/>
        </w:rPr>
        <w:t>:</w:t>
      </w:r>
      <w:r w:rsidRPr="00D24176">
        <w:rPr>
          <w:rFonts w:eastAsia="Times New Roman" w:cstheme="minorHAnsi"/>
          <w:bCs/>
          <w:sz w:val="20"/>
          <w:szCs w:val="24"/>
          <w:lang w:eastAsia="es-ES"/>
        </w:rPr>
        <w:t> Se tomará en cuenta la presentación oral de los resultados de trabajos grupales, las actividades prácticas y producciones a partir de la puesta en común e intercambio de opiniones.</w:t>
      </w:r>
    </w:p>
    <w:p w:rsidR="00D24176" w:rsidRPr="00D24176" w:rsidRDefault="00D24176" w:rsidP="002C6DDF">
      <w:pPr>
        <w:spacing w:after="0" w:line="360" w:lineRule="auto"/>
        <w:jc w:val="both"/>
        <w:rPr>
          <w:rFonts w:eastAsia="Times New Roman" w:cstheme="minorHAnsi"/>
          <w:sz w:val="24"/>
          <w:szCs w:val="24"/>
          <w:lang w:eastAsia="es-ES"/>
        </w:rPr>
      </w:pPr>
      <w:r w:rsidRPr="00D24176">
        <w:rPr>
          <w:rFonts w:eastAsia="Times New Roman" w:cstheme="minorHAnsi"/>
          <w:bCs/>
          <w:sz w:val="24"/>
          <w:szCs w:val="24"/>
          <w:lang w:eastAsia="es-ES"/>
        </w:rPr>
        <w:t> </w:t>
      </w:r>
    </w:p>
    <w:p w:rsidR="00D24176" w:rsidRPr="00D24176" w:rsidRDefault="00D24176" w:rsidP="002C6DDF">
      <w:pPr>
        <w:spacing w:after="0" w:line="360" w:lineRule="auto"/>
        <w:ind w:left="708"/>
        <w:jc w:val="both"/>
        <w:rPr>
          <w:rFonts w:eastAsia="Times New Roman" w:cstheme="minorHAnsi"/>
          <w:sz w:val="20"/>
          <w:szCs w:val="24"/>
          <w:lang w:eastAsia="es-ES"/>
        </w:rPr>
      </w:pPr>
      <w:r w:rsidRPr="00D24176">
        <w:rPr>
          <w:rFonts w:eastAsia="Times New Roman" w:cstheme="minorHAnsi"/>
          <w:b/>
          <w:bCs/>
          <w:i/>
          <w:iCs/>
          <w:sz w:val="20"/>
          <w:szCs w:val="24"/>
          <w:lang w:eastAsia="es-ES"/>
        </w:rPr>
        <w:t>Evaluación Final</w:t>
      </w:r>
      <w:r w:rsidRPr="00D24176">
        <w:rPr>
          <w:rFonts w:eastAsia="Times New Roman" w:cstheme="minorHAnsi"/>
          <w:b/>
          <w:bCs/>
          <w:sz w:val="20"/>
          <w:szCs w:val="24"/>
          <w:lang w:eastAsia="es-ES"/>
        </w:rPr>
        <w:t>:</w:t>
      </w:r>
      <w:r w:rsidRPr="00D24176">
        <w:rPr>
          <w:rFonts w:eastAsia="Times New Roman" w:cstheme="minorHAnsi"/>
          <w:bCs/>
          <w:sz w:val="20"/>
          <w:szCs w:val="24"/>
          <w:lang w:eastAsia="es-ES"/>
        </w:rPr>
        <w:t xml:space="preserve"> Se realizará a través de la presentación de un trabajo final personal, que contenga una reflexión epistemológica y metodológica sobre el propio proyecto de investigación. Se pondrá en evidencia el aprovechamiento de la bibliografía ofrecida en el curso. El texto tendrá una extensión mínima de 5 páginas y máxima de 10 páginas A4, letra time new </w:t>
      </w:r>
      <w:proofErr w:type="spellStart"/>
      <w:r w:rsidRPr="00D24176">
        <w:rPr>
          <w:rFonts w:eastAsia="Times New Roman" w:cstheme="minorHAnsi"/>
          <w:bCs/>
          <w:sz w:val="20"/>
          <w:szCs w:val="24"/>
          <w:lang w:eastAsia="es-ES"/>
        </w:rPr>
        <w:t>roman</w:t>
      </w:r>
      <w:proofErr w:type="spellEnd"/>
      <w:r w:rsidRPr="00D24176">
        <w:rPr>
          <w:rFonts w:eastAsia="Times New Roman" w:cstheme="minorHAnsi"/>
          <w:bCs/>
          <w:sz w:val="20"/>
          <w:szCs w:val="24"/>
          <w:lang w:eastAsia="es-ES"/>
        </w:rPr>
        <w:t xml:space="preserve"> 12, interlineado 1,5 incluyendo notas y bibliografía.</w:t>
      </w:r>
    </w:p>
    <w:p w:rsidR="00622E27" w:rsidRPr="00D105D9" w:rsidRDefault="00622E27" w:rsidP="002C6DDF">
      <w:pPr>
        <w:spacing w:line="360" w:lineRule="auto"/>
        <w:rPr>
          <w:rFonts w:cstheme="minorHAnsi"/>
        </w:rPr>
      </w:pPr>
    </w:p>
    <w:sectPr w:rsidR="00622E27" w:rsidRPr="00D105D9" w:rsidSect="00720C57">
      <w:headerReference w:type="default" r:id="rId6"/>
      <w:pgSz w:w="11906" w:h="16838"/>
      <w:pgMar w:top="23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F25" w:rsidRDefault="00227F25" w:rsidP="00720C57">
      <w:pPr>
        <w:spacing w:after="0" w:line="240" w:lineRule="auto"/>
      </w:pPr>
      <w:r>
        <w:separator/>
      </w:r>
    </w:p>
  </w:endnote>
  <w:endnote w:type="continuationSeparator" w:id="0">
    <w:p w:rsidR="00227F25" w:rsidRDefault="00227F25" w:rsidP="0072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F25" w:rsidRDefault="00227F25" w:rsidP="00720C57">
      <w:pPr>
        <w:spacing w:after="0" w:line="240" w:lineRule="auto"/>
      </w:pPr>
      <w:r>
        <w:separator/>
      </w:r>
    </w:p>
  </w:footnote>
  <w:footnote w:type="continuationSeparator" w:id="0">
    <w:p w:rsidR="00227F25" w:rsidRDefault="00227F25" w:rsidP="0072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57" w:rsidRDefault="00720C57">
    <w:pPr>
      <w:pStyle w:val="Encabezado"/>
    </w:pPr>
    <w:r w:rsidRPr="00720C57">
      <w:drawing>
        <wp:anchor distT="0" distB="0" distL="114300" distR="114300" simplePos="0" relativeHeight="251661312" behindDoc="0" locked="0" layoutInCell="1" allowOverlap="1">
          <wp:simplePos x="0" y="0"/>
          <wp:positionH relativeFrom="margin">
            <wp:posOffset>-151734</wp:posOffset>
          </wp:positionH>
          <wp:positionV relativeFrom="paragraph">
            <wp:posOffset>271182</wp:posOffset>
          </wp:positionV>
          <wp:extent cx="3148281" cy="459666"/>
          <wp:effectExtent l="0" t="0" r="0" b="0"/>
          <wp:wrapNone/>
          <wp:docPr id="5" name="Imagen 5" descr="logo-uncuyo-fc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cuyo-fcm-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1725" cy="4645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C57">
      <w:drawing>
        <wp:anchor distT="0" distB="0" distL="114300" distR="114300" simplePos="0" relativeHeight="251660288" behindDoc="0" locked="0" layoutInCell="1" allowOverlap="1" wp14:anchorId="17FB1D76" wp14:editId="17A5E427">
          <wp:simplePos x="0" y="0"/>
          <wp:positionH relativeFrom="column">
            <wp:posOffset>3921760</wp:posOffset>
          </wp:positionH>
          <wp:positionV relativeFrom="paragraph">
            <wp:posOffset>173318</wp:posOffset>
          </wp:positionV>
          <wp:extent cx="1870710" cy="716280"/>
          <wp:effectExtent l="0" t="0" r="0" b="7620"/>
          <wp:wrapNone/>
          <wp:docPr id="4" name="0 Imagen" descr="UNCUYO 2020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UYO 2020 byn.jpg"/>
                  <pic:cNvPicPr/>
                </pic:nvPicPr>
                <pic:blipFill>
                  <a:blip r:embed="rId2"/>
                  <a:stretch>
                    <a:fillRect/>
                  </a:stretch>
                </pic:blipFill>
                <pic:spPr>
                  <a:xfrm>
                    <a:off x="0" y="0"/>
                    <a:ext cx="1870710" cy="7162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76"/>
    <w:rsid w:val="00227F25"/>
    <w:rsid w:val="002C6DDF"/>
    <w:rsid w:val="00622E27"/>
    <w:rsid w:val="00720C57"/>
    <w:rsid w:val="008062D6"/>
    <w:rsid w:val="00D105D9"/>
    <w:rsid w:val="00D24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BE68B"/>
  <w15:chartTrackingRefBased/>
  <w15:docId w15:val="{94C7A5E5-D519-490D-855B-6C8B0F07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41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20C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0C57"/>
  </w:style>
  <w:style w:type="paragraph" w:styleId="Piedepgina">
    <w:name w:val="footer"/>
    <w:basedOn w:val="Normal"/>
    <w:link w:val="PiedepginaCar"/>
    <w:uiPriority w:val="99"/>
    <w:unhideWhenUsed/>
    <w:rsid w:val="00720C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14780">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 Penin</dc:creator>
  <cp:keywords/>
  <dc:description/>
  <cp:lastModifiedBy>Julián Penin</cp:lastModifiedBy>
  <cp:revision>3</cp:revision>
  <dcterms:created xsi:type="dcterms:W3CDTF">2020-03-09T15:19:00Z</dcterms:created>
  <dcterms:modified xsi:type="dcterms:W3CDTF">2020-03-09T16:06:00Z</dcterms:modified>
</cp:coreProperties>
</file>