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9E" w:rsidRDefault="00675D9E" w:rsidP="00A51C81">
      <w:pPr>
        <w:jc w:val="both"/>
        <w:outlineLvl w:val="0"/>
        <w:rPr>
          <w:sz w:val="28"/>
          <w:szCs w:val="28"/>
        </w:rPr>
      </w:pPr>
    </w:p>
    <w:p w:rsidR="00675D9E" w:rsidRPr="002C6475" w:rsidRDefault="00675D9E" w:rsidP="00A51C8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2C6475">
        <w:rPr>
          <w:rFonts w:ascii="Arial" w:hAnsi="Arial" w:cs="Arial"/>
          <w:b/>
        </w:rPr>
        <w:t>Objetivo.</w:t>
      </w:r>
    </w:p>
    <w:p w:rsidR="00FE30DD" w:rsidRPr="00A51C81" w:rsidRDefault="00675D9E" w:rsidP="00A51C8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Alcance.</w:t>
      </w:r>
      <w:r w:rsidR="00FE30DD" w:rsidRPr="00A51C81">
        <w:rPr>
          <w:rFonts w:ascii="Arial" w:hAnsi="Arial" w:cs="Arial"/>
          <w:b/>
          <w:bCs/>
        </w:rPr>
        <w:t xml:space="preserve"> </w:t>
      </w:r>
    </w:p>
    <w:p w:rsidR="00675D9E" w:rsidRPr="00736791" w:rsidRDefault="00675D9E" w:rsidP="00A51C8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736791">
        <w:rPr>
          <w:rFonts w:ascii="Arial" w:hAnsi="Arial" w:cs="Arial"/>
          <w:b/>
          <w:bCs/>
        </w:rPr>
        <w:t>Definiciones y Abreviaturas</w:t>
      </w:r>
      <w:r>
        <w:rPr>
          <w:rFonts w:ascii="Arial" w:hAnsi="Arial" w:cs="Arial"/>
          <w:b/>
          <w:bCs/>
        </w:rPr>
        <w:t>.</w:t>
      </w:r>
    </w:p>
    <w:p w:rsidR="00675D9E" w:rsidRPr="00736791" w:rsidRDefault="00675D9E" w:rsidP="00A51C8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</w:t>
      </w:r>
      <w:r w:rsidRPr="00736791">
        <w:rPr>
          <w:rFonts w:ascii="Arial" w:hAnsi="Arial" w:cs="Arial"/>
          <w:b/>
        </w:rPr>
        <w:t>.</w:t>
      </w:r>
    </w:p>
    <w:p w:rsidR="00675D9E" w:rsidRPr="00736791" w:rsidRDefault="00675D9E" w:rsidP="00A51C8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Relacionados.</w:t>
      </w:r>
    </w:p>
    <w:p w:rsidR="00675D9E" w:rsidRDefault="00675D9E" w:rsidP="00A51C8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758E" w:rsidRPr="00FE30DD" w:rsidRDefault="00733D92" w:rsidP="00A51C81">
      <w:pPr>
        <w:pStyle w:val="Prrafodelista"/>
        <w:numPr>
          <w:ilvl w:val="0"/>
          <w:numId w:val="7"/>
        </w:numPr>
        <w:jc w:val="both"/>
        <w:outlineLvl w:val="0"/>
        <w:rPr>
          <w:b/>
          <w:sz w:val="28"/>
          <w:szCs w:val="28"/>
        </w:rPr>
      </w:pPr>
      <w:r w:rsidRPr="00FE30DD">
        <w:rPr>
          <w:b/>
          <w:sz w:val="28"/>
          <w:szCs w:val="28"/>
        </w:rPr>
        <w:lastRenderedPageBreak/>
        <w:t>OBJETIVOS:</w:t>
      </w:r>
    </w:p>
    <w:p w:rsidR="00733D92" w:rsidRDefault="00733D92" w:rsidP="00A51C81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Establecer un procedimiento general y documentado para asegurar e</w:t>
      </w:r>
      <w:r w:rsidR="00A51C81">
        <w:rPr>
          <w:sz w:val="28"/>
          <w:szCs w:val="28"/>
        </w:rPr>
        <w:t>l correcto uso de los extintores de incendio</w:t>
      </w:r>
      <w:r>
        <w:rPr>
          <w:sz w:val="28"/>
          <w:szCs w:val="28"/>
        </w:rPr>
        <w:t xml:space="preserve"> en caso de un</w:t>
      </w:r>
      <w:r w:rsidR="00A51C81">
        <w:rPr>
          <w:sz w:val="28"/>
          <w:szCs w:val="28"/>
        </w:rPr>
        <w:t xml:space="preserve"> principio de incendio</w:t>
      </w:r>
      <w:r>
        <w:rPr>
          <w:sz w:val="28"/>
          <w:szCs w:val="28"/>
        </w:rPr>
        <w:t>.</w:t>
      </w:r>
    </w:p>
    <w:p w:rsidR="00733D92" w:rsidRPr="00FE30DD" w:rsidRDefault="00733D92" w:rsidP="00A51C81">
      <w:pPr>
        <w:pStyle w:val="Prrafodelista"/>
        <w:numPr>
          <w:ilvl w:val="0"/>
          <w:numId w:val="7"/>
        </w:numPr>
        <w:jc w:val="both"/>
        <w:outlineLvl w:val="0"/>
        <w:rPr>
          <w:b/>
          <w:sz w:val="28"/>
          <w:szCs w:val="28"/>
        </w:rPr>
      </w:pPr>
      <w:r w:rsidRPr="00FE30DD">
        <w:rPr>
          <w:b/>
          <w:sz w:val="28"/>
          <w:szCs w:val="28"/>
        </w:rPr>
        <w:t>ALCANCE:</w:t>
      </w:r>
    </w:p>
    <w:p w:rsidR="00EF15F4" w:rsidRDefault="00EF15F4" w:rsidP="00A51C81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Aplicable a todo el personal de la FCM.</w:t>
      </w:r>
    </w:p>
    <w:p w:rsidR="00EF15F4" w:rsidRPr="00FE30DD" w:rsidRDefault="00EF15F4" w:rsidP="00A51C81">
      <w:pPr>
        <w:pStyle w:val="Prrafodelista"/>
        <w:numPr>
          <w:ilvl w:val="0"/>
          <w:numId w:val="7"/>
        </w:numPr>
        <w:jc w:val="both"/>
        <w:outlineLvl w:val="0"/>
        <w:rPr>
          <w:b/>
          <w:sz w:val="28"/>
          <w:szCs w:val="28"/>
        </w:rPr>
      </w:pPr>
      <w:r w:rsidRPr="00FE30DD">
        <w:rPr>
          <w:b/>
          <w:sz w:val="28"/>
          <w:szCs w:val="28"/>
        </w:rPr>
        <w:t>DEFINICIONES Y ABREVIATURAS:</w:t>
      </w:r>
    </w:p>
    <w:p w:rsidR="00733D92" w:rsidRDefault="00733D92" w:rsidP="00A51C81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Es responsabilidad de todos y cada uno de los trabajadores de</w:t>
      </w:r>
      <w:r w:rsidR="00EF15F4">
        <w:rPr>
          <w:sz w:val="28"/>
          <w:szCs w:val="28"/>
        </w:rPr>
        <w:t xml:space="preserve"> la Facultad de Ciencias Médicas </w:t>
      </w:r>
      <w:r>
        <w:rPr>
          <w:sz w:val="28"/>
          <w:szCs w:val="28"/>
        </w:rPr>
        <w:t xml:space="preserve"> </w:t>
      </w:r>
      <w:r w:rsidR="00EF15F4">
        <w:rPr>
          <w:sz w:val="28"/>
          <w:szCs w:val="28"/>
        </w:rPr>
        <w:t>conocer los tipos de fuegos a los que está expuesto en su lugar de trabajo y cómo  enfrentar un foco de incendio.</w:t>
      </w:r>
    </w:p>
    <w:p w:rsidR="00EF15F4" w:rsidRPr="00FE30DD" w:rsidRDefault="00EF15F4" w:rsidP="00A51C81">
      <w:pPr>
        <w:pStyle w:val="Prrafodelista"/>
        <w:numPr>
          <w:ilvl w:val="0"/>
          <w:numId w:val="7"/>
        </w:numPr>
        <w:jc w:val="both"/>
        <w:outlineLvl w:val="0"/>
        <w:rPr>
          <w:b/>
          <w:sz w:val="28"/>
          <w:szCs w:val="28"/>
        </w:rPr>
      </w:pPr>
      <w:r w:rsidRPr="00FE30DD">
        <w:rPr>
          <w:b/>
          <w:sz w:val="28"/>
          <w:szCs w:val="28"/>
        </w:rPr>
        <w:t>DESCRIPCION:</w:t>
      </w:r>
    </w:p>
    <w:p w:rsidR="00EF15F4" w:rsidRDefault="00D279DA" w:rsidP="00A51C81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¿COMO</w:t>
      </w:r>
      <w:r w:rsidR="00A51C81">
        <w:rPr>
          <w:sz w:val="28"/>
          <w:szCs w:val="28"/>
        </w:rPr>
        <w:t xml:space="preserve"> USAR UN EXTINTOR DE INCNEDIO</w:t>
      </w:r>
      <w:r w:rsidR="00EF15F4">
        <w:rPr>
          <w:sz w:val="28"/>
          <w:szCs w:val="28"/>
        </w:rPr>
        <w:t>?</w:t>
      </w:r>
    </w:p>
    <w:p w:rsidR="00EF15F4" w:rsidRDefault="00EF15F4" w:rsidP="00A51C81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Ante una determinada situación de riesgo (por ejemplo, incendio), existen una serie de acciones sucesivas que se deben llevar a cabo para limitar sus consecuencias, como el uso de matafuego.</w:t>
      </w:r>
    </w:p>
    <w:p w:rsidR="00EF15F4" w:rsidRDefault="00EF15F4" w:rsidP="00A51C81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Para garantizar el correcto uso del matafuego es necesario que el personal conozca cómo y cuándo usarlo.</w:t>
      </w:r>
    </w:p>
    <w:p w:rsidR="00D279DA" w:rsidRDefault="00D279DA" w:rsidP="00A51C81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¿Cómo utilizar un matafuego?</w:t>
      </w:r>
    </w:p>
    <w:p w:rsidR="00D279DA" w:rsidRDefault="00D279DA" w:rsidP="00A51C81">
      <w:pPr>
        <w:pStyle w:val="Prrafodelista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Seleccione el matafuego teniendo en cuenta el tipo de fuego al cual se enfrenta.</w:t>
      </w:r>
    </w:p>
    <w:p w:rsidR="00D279DA" w:rsidRPr="00FE30DD" w:rsidRDefault="00D279DA" w:rsidP="00A51C81">
      <w:pPr>
        <w:ind w:left="360"/>
        <w:jc w:val="both"/>
        <w:outlineLvl w:val="0"/>
        <w:rPr>
          <w:i/>
          <w:sz w:val="28"/>
          <w:szCs w:val="28"/>
        </w:rPr>
      </w:pPr>
      <w:r w:rsidRPr="00FE30DD">
        <w:rPr>
          <w:i/>
          <w:sz w:val="28"/>
          <w:szCs w:val="28"/>
        </w:rPr>
        <w:t>CLASES DE FUEGO:</w:t>
      </w:r>
    </w:p>
    <w:p w:rsidR="00D279DA" w:rsidRDefault="00D279DA" w:rsidP="00A51C81">
      <w:pPr>
        <w:pStyle w:val="Prrafodelista"/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Combustibles sólidos. </w:t>
      </w:r>
    </w:p>
    <w:p w:rsidR="00D279DA" w:rsidRDefault="00D279DA" w:rsidP="00A51C81">
      <w:pPr>
        <w:pStyle w:val="Prrafodelista"/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Líquidos o gases inflamables.</w:t>
      </w:r>
    </w:p>
    <w:p w:rsidR="00D279DA" w:rsidRDefault="00D279DA" w:rsidP="00A51C81">
      <w:pPr>
        <w:pStyle w:val="Prrafodelista"/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Equipos eléctricos energizados.</w:t>
      </w:r>
    </w:p>
    <w:p w:rsidR="00D279DA" w:rsidRDefault="00D279DA" w:rsidP="00A51C81">
      <w:pPr>
        <w:pStyle w:val="Prrafodelista"/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Metales combustibles.</w:t>
      </w:r>
    </w:p>
    <w:p w:rsidR="00D279DA" w:rsidRDefault="00D279DA" w:rsidP="00A51C81">
      <w:pPr>
        <w:pStyle w:val="Prrafodelista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Tire el seguro.</w:t>
      </w:r>
    </w:p>
    <w:p w:rsidR="00D279DA" w:rsidRDefault="00D279DA" w:rsidP="00A51C81">
      <w:pPr>
        <w:pStyle w:val="Prrafodelista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D26">
        <w:rPr>
          <w:sz w:val="28"/>
          <w:szCs w:val="28"/>
        </w:rPr>
        <w:t>Colóquese</w:t>
      </w:r>
      <w:r>
        <w:rPr>
          <w:sz w:val="28"/>
          <w:szCs w:val="28"/>
        </w:rPr>
        <w:t xml:space="preserve"> a una distancia de 3 m, en la dirección del viento y apunte la </w:t>
      </w:r>
      <w:r w:rsidR="000D0D26">
        <w:rPr>
          <w:sz w:val="28"/>
          <w:szCs w:val="28"/>
        </w:rPr>
        <w:t>boquilla</w:t>
      </w:r>
      <w:r>
        <w:rPr>
          <w:sz w:val="28"/>
          <w:szCs w:val="28"/>
        </w:rPr>
        <w:t xml:space="preserve"> del extintor en dirección a la base de la llama.</w:t>
      </w:r>
    </w:p>
    <w:p w:rsidR="00D279DA" w:rsidRDefault="00D279DA" w:rsidP="00A51C81">
      <w:pPr>
        <w:pStyle w:val="Prrafodelista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Apriete el gatillo mientras</w:t>
      </w:r>
      <w:r w:rsidR="000D0D26">
        <w:rPr>
          <w:sz w:val="28"/>
          <w:szCs w:val="28"/>
        </w:rPr>
        <w:t xml:space="preserve"> mantiene el matafuego en la posición vertical.</w:t>
      </w:r>
    </w:p>
    <w:p w:rsidR="000D0D26" w:rsidRDefault="000D0D26" w:rsidP="00A51C81">
      <w:pPr>
        <w:pStyle w:val="Prrafodelista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Mueva la boquilla de lado a lado lentamente, atacando por la base</w:t>
      </w:r>
      <w:r w:rsidR="00EA75C4">
        <w:rPr>
          <w:sz w:val="28"/>
          <w:szCs w:val="28"/>
        </w:rPr>
        <w:t xml:space="preserve"> solo la parte frontal del fuego, para evitar quedar atrapado atrás. </w:t>
      </w:r>
    </w:p>
    <w:p w:rsidR="00EA75C4" w:rsidRDefault="00EA75C4" w:rsidP="00A51C81">
      <w:pPr>
        <w:pStyle w:val="Prrafodelista"/>
        <w:jc w:val="both"/>
        <w:outlineLvl w:val="0"/>
        <w:rPr>
          <w:sz w:val="28"/>
          <w:szCs w:val="28"/>
        </w:rPr>
      </w:pPr>
    </w:p>
    <w:p w:rsidR="00EA75C4" w:rsidRPr="00DB11CB" w:rsidRDefault="00EA75C4" w:rsidP="00A51C81">
      <w:pPr>
        <w:jc w:val="both"/>
        <w:outlineLvl w:val="0"/>
        <w:rPr>
          <w:sz w:val="28"/>
          <w:szCs w:val="28"/>
        </w:rPr>
      </w:pPr>
      <w:r w:rsidRPr="00DB11CB">
        <w:rPr>
          <w:sz w:val="28"/>
          <w:szCs w:val="28"/>
        </w:rPr>
        <w:t>En caso de combatir focos de incendio:</w:t>
      </w:r>
    </w:p>
    <w:p w:rsidR="00EA75C4" w:rsidRDefault="00EA75C4" w:rsidP="00A51C81">
      <w:pPr>
        <w:pStyle w:val="Prrafodelista"/>
        <w:jc w:val="both"/>
        <w:outlineLvl w:val="0"/>
        <w:rPr>
          <w:sz w:val="28"/>
          <w:szCs w:val="28"/>
        </w:rPr>
      </w:pPr>
    </w:p>
    <w:p w:rsidR="00EA75C4" w:rsidRDefault="00EA75C4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Originados por escape de gas, colocarse de forma tal que coincida la dirección del escape del gas con la del agente extintor.</w:t>
      </w:r>
    </w:p>
    <w:p w:rsidR="00EA75C4" w:rsidRDefault="00EA75C4" w:rsidP="00A51C81">
      <w:pPr>
        <w:pStyle w:val="Prrafodelista"/>
        <w:jc w:val="both"/>
        <w:outlineLvl w:val="0"/>
        <w:rPr>
          <w:sz w:val="28"/>
          <w:szCs w:val="28"/>
        </w:rPr>
      </w:pPr>
    </w:p>
    <w:p w:rsidR="00EA75C4" w:rsidRDefault="00EA75C4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Que involucran filtraciones de productos derivados del petróleo, deben ser extinguidos desde el área</w:t>
      </w:r>
      <w:r w:rsidR="00E6330F">
        <w:rPr>
          <w:sz w:val="28"/>
          <w:szCs w:val="28"/>
        </w:rPr>
        <w:t xml:space="preserve"> inflamada hacia la fuente de ignición.</w:t>
      </w:r>
    </w:p>
    <w:p w:rsidR="00E6330F" w:rsidRDefault="00E6330F" w:rsidP="00A51C81">
      <w:pPr>
        <w:pStyle w:val="Prrafodelista"/>
        <w:jc w:val="both"/>
        <w:outlineLvl w:val="0"/>
        <w:rPr>
          <w:sz w:val="28"/>
          <w:szCs w:val="28"/>
        </w:rPr>
      </w:pPr>
    </w:p>
    <w:p w:rsidR="00E6330F" w:rsidRDefault="00E6330F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En equipos eléctricos, recuerde no utilizar agentes extintores de base acuosa (agua, espuma física, etc.)</w:t>
      </w:r>
    </w:p>
    <w:p w:rsidR="00E6330F" w:rsidRDefault="00E6330F" w:rsidP="00A51C81">
      <w:pPr>
        <w:pStyle w:val="Prrafodelista"/>
        <w:jc w:val="both"/>
        <w:outlineLvl w:val="0"/>
        <w:rPr>
          <w:sz w:val="28"/>
          <w:szCs w:val="28"/>
        </w:rPr>
      </w:pPr>
    </w:p>
    <w:p w:rsidR="00E6330F" w:rsidRDefault="00E6330F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Incendios en recintos con combustibles líquidos, proyectar el agente extintor sobre las paredes.</w:t>
      </w:r>
    </w:p>
    <w:p w:rsidR="00E6330F" w:rsidRDefault="00E6330F" w:rsidP="00A51C81">
      <w:pPr>
        <w:pStyle w:val="Prrafodelista"/>
        <w:jc w:val="both"/>
        <w:outlineLvl w:val="0"/>
        <w:rPr>
          <w:sz w:val="28"/>
          <w:szCs w:val="28"/>
        </w:rPr>
      </w:pPr>
    </w:p>
    <w:p w:rsidR="00E6330F" w:rsidRDefault="00E6330F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De combustibles </w:t>
      </w:r>
      <w:r w:rsidR="00DB11CB">
        <w:rPr>
          <w:sz w:val="28"/>
          <w:szCs w:val="28"/>
        </w:rPr>
        <w:t>sólidos</w:t>
      </w:r>
      <w:r w:rsidR="003F3039">
        <w:rPr>
          <w:sz w:val="28"/>
          <w:szCs w:val="28"/>
        </w:rPr>
        <w:t>, dejar una buena capa de polvo sobre los escombros para evitar la reig</w:t>
      </w:r>
      <w:r w:rsidR="00DB11CB">
        <w:rPr>
          <w:sz w:val="28"/>
          <w:szCs w:val="28"/>
        </w:rPr>
        <w:t>nición</w:t>
      </w:r>
      <w:r w:rsidR="003F3039">
        <w:rPr>
          <w:sz w:val="28"/>
          <w:szCs w:val="28"/>
        </w:rPr>
        <w:t>.</w:t>
      </w: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</w:p>
    <w:p w:rsidR="003F3039" w:rsidRPr="00FE30DD" w:rsidRDefault="003F3039" w:rsidP="00A51C81">
      <w:pPr>
        <w:pStyle w:val="Prrafodelista"/>
        <w:jc w:val="both"/>
        <w:outlineLvl w:val="0"/>
        <w:rPr>
          <w:i/>
          <w:sz w:val="28"/>
          <w:szCs w:val="28"/>
        </w:rPr>
      </w:pPr>
      <w:r w:rsidRPr="00FE30DD">
        <w:rPr>
          <w:i/>
          <w:sz w:val="28"/>
          <w:szCs w:val="28"/>
        </w:rPr>
        <w:t>RECUERDE:</w:t>
      </w: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Si su camino de escape se ve amenazado por llamas o bloqueo.</w:t>
      </w: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Si se le acaba el agente a su extintor.</w:t>
      </w: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Si no puede seguir combatiendo el fuego en forma segura.</w:t>
      </w:r>
    </w:p>
    <w:p w:rsidR="003F3039" w:rsidRPr="00FE30DD" w:rsidRDefault="003F3039" w:rsidP="00A51C81">
      <w:pPr>
        <w:pStyle w:val="Prrafodelista"/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E30DD">
        <w:rPr>
          <w:b/>
          <w:i/>
          <w:sz w:val="28"/>
          <w:szCs w:val="28"/>
          <w:u w:val="single"/>
        </w:rPr>
        <w:t>UD. DEBE ABANDONAR INMEDIATAMENTE EL AREA.</w:t>
      </w: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Además: </w:t>
      </w: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En el equipo encontrara un recordatorio de cómo usar el matafuego.</w:t>
      </w: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Es importante tener conocimiento de la ubicación de los extintores.</w:t>
      </w: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Mantener libres los accesos a los matafuegos.</w:t>
      </w: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Si se uso un equipo o se observo que hay uno vacio, avisar para su recarga.</w:t>
      </w: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No combata un incendio que se está esparciendo más allá del lugar donde empezó. </w:t>
      </w:r>
    </w:p>
    <w:p w:rsidR="003F3039" w:rsidRDefault="003F3039" w:rsidP="00A51C81">
      <w:pPr>
        <w:pStyle w:val="Prrafodelist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Antes de abandonar la zona de incendio, una vez extinguido el mismo, verifique que no haya posibilidad de reignición. </w:t>
      </w:r>
    </w:p>
    <w:p w:rsidR="00E6330F" w:rsidRDefault="00E6330F" w:rsidP="00EA75C4">
      <w:pPr>
        <w:pStyle w:val="Prrafodelista"/>
        <w:outlineLvl w:val="0"/>
        <w:rPr>
          <w:sz w:val="28"/>
          <w:szCs w:val="28"/>
        </w:rPr>
      </w:pPr>
    </w:p>
    <w:p w:rsidR="00E6330F" w:rsidRPr="00D279DA" w:rsidRDefault="00E6330F" w:rsidP="00EA75C4">
      <w:pPr>
        <w:pStyle w:val="Prrafodelista"/>
        <w:outlineLvl w:val="0"/>
        <w:rPr>
          <w:sz w:val="28"/>
          <w:szCs w:val="28"/>
        </w:rPr>
      </w:pPr>
    </w:p>
    <w:p w:rsidR="00D279DA" w:rsidRPr="00D279DA" w:rsidRDefault="00DB11CB" w:rsidP="00A51C81">
      <w:pPr>
        <w:pStyle w:val="Prrafodelista"/>
        <w:ind w:left="900"/>
        <w:jc w:val="center"/>
        <w:outlineLvl w:val="0"/>
        <w:rPr>
          <w:sz w:val="28"/>
          <w:szCs w:val="28"/>
        </w:rPr>
      </w:pPr>
      <w:r>
        <w:rPr>
          <w:rFonts w:ascii="Arial" w:hAnsi="Arial" w:cs="Arial"/>
          <w:noProof/>
          <w:color w:val="324FE1"/>
          <w:sz w:val="20"/>
          <w:szCs w:val="20"/>
          <w:lang w:val="es-ES" w:eastAsia="es-ES"/>
        </w:rPr>
        <w:drawing>
          <wp:inline distT="0" distB="0" distL="0" distR="0">
            <wp:extent cx="3190875" cy="3019425"/>
            <wp:effectExtent l="19050" t="0" r="9525" b="0"/>
            <wp:docPr id="1" name="yui_3_10_0_1_1402927509155_363" descr="http://1.bp.blogspot.com/_P-IRoNoMA3A/TJk0-A29VaI/AAAAAAAAACA/cESprh-JXJc/s1600/matafuego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02927509155_363" descr="http://1.bp.blogspot.com/_P-IRoNoMA3A/TJk0-A29VaI/AAAAAAAAACA/cESprh-JXJc/s1600/matafuego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9DA" w:rsidRPr="00EF15F4" w:rsidRDefault="00D279DA" w:rsidP="00EF15F4">
      <w:pPr>
        <w:ind w:left="360"/>
        <w:outlineLvl w:val="0"/>
        <w:rPr>
          <w:sz w:val="28"/>
          <w:szCs w:val="28"/>
        </w:rPr>
      </w:pPr>
    </w:p>
    <w:p w:rsidR="00EF15F4" w:rsidRPr="00733D92" w:rsidRDefault="00EF15F4" w:rsidP="00733D92">
      <w:pPr>
        <w:ind w:left="360"/>
        <w:outlineLvl w:val="0"/>
        <w:rPr>
          <w:sz w:val="28"/>
          <w:szCs w:val="28"/>
        </w:rPr>
      </w:pPr>
    </w:p>
    <w:p w:rsidR="00DB11CB" w:rsidRDefault="00DB11CB" w:rsidP="00A51C81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324FE1"/>
          <w:sz w:val="20"/>
          <w:szCs w:val="20"/>
          <w:lang w:val="es-ES" w:eastAsia="es-ES"/>
        </w:rPr>
        <w:drawing>
          <wp:inline distT="0" distB="0" distL="0" distR="0">
            <wp:extent cx="3219450" cy="2667000"/>
            <wp:effectExtent l="19050" t="0" r="0" b="0"/>
            <wp:docPr id="2" name="yui_3_10_0_1_1402927509155_447" descr="http://www.ugr.unsl.edu.ar/normas/matafuegos.gif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02927509155_447" descr="http://www.ugr.unsl.edu.ar/normas/matafuegos.gif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1CB" w:rsidRPr="00DB11CB" w:rsidRDefault="00DB11CB" w:rsidP="00DB11CB">
      <w:pPr>
        <w:rPr>
          <w:sz w:val="28"/>
          <w:szCs w:val="28"/>
        </w:rPr>
      </w:pPr>
    </w:p>
    <w:p w:rsidR="00DB11CB" w:rsidRDefault="00DB11CB" w:rsidP="00A51C81">
      <w:pPr>
        <w:jc w:val="center"/>
        <w:rPr>
          <w:sz w:val="28"/>
          <w:szCs w:val="28"/>
        </w:rPr>
      </w:pPr>
      <w:r w:rsidRPr="00DB11CB"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3810000" cy="2809875"/>
            <wp:effectExtent l="19050" t="0" r="0" b="0"/>
            <wp:docPr id="5" name="yui_3_10_0_1_1402927509155_463" descr="http://www.paritarios.cl/images/esp_extintores07.gi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02927509155_463" descr="http://www.paritarios.cl/images/esp_extintores07.gi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8E" w:rsidRPr="00DB11CB" w:rsidRDefault="00DB11CB" w:rsidP="00A51C81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324FE1"/>
          <w:sz w:val="20"/>
          <w:szCs w:val="20"/>
          <w:lang w:val="es-ES" w:eastAsia="es-ES"/>
        </w:rPr>
        <w:lastRenderedPageBreak/>
        <w:drawing>
          <wp:inline distT="0" distB="0" distL="0" distR="0">
            <wp:extent cx="4476750" cy="5562600"/>
            <wp:effectExtent l="19050" t="0" r="0" b="0"/>
            <wp:docPr id="13" name="yui_3_10_0_1_1402927509155_492" descr="http://www.palumboadministraciones.com/correodelectores/nuevo/img/matafuegos.gif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02927509155_492" descr="http://www.palumboadministraciones.com/correodelectores/nuevo/img/matafuegos.gif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58E" w:rsidRPr="00DB11CB" w:rsidSect="00E96D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86" w:rsidRDefault="001E7186" w:rsidP="00675D9E">
      <w:pPr>
        <w:spacing w:after="0" w:line="240" w:lineRule="auto"/>
      </w:pPr>
      <w:r>
        <w:separator/>
      </w:r>
    </w:p>
  </w:endnote>
  <w:endnote w:type="continuationSeparator" w:id="0">
    <w:p w:rsidR="001E7186" w:rsidRDefault="001E7186" w:rsidP="0067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C0" w:rsidRDefault="003F4EC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93"/>
      <w:gridCol w:w="3169"/>
      <w:gridCol w:w="2482"/>
    </w:tblGrid>
    <w:tr w:rsidR="00675D9E" w:rsidTr="00CD267A">
      <w:trPr>
        <w:trHeight w:val="536"/>
      </w:trPr>
      <w:tc>
        <w:tcPr>
          <w:tcW w:w="343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sz w:val="20"/>
            </w:rPr>
          </w:pPr>
        </w:p>
      </w:tc>
      <w:tc>
        <w:tcPr>
          <w:tcW w:w="35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Revisó:</w:t>
          </w:r>
        </w:p>
      </w:tc>
      <w:tc>
        <w:tcPr>
          <w:tcW w:w="27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sz w:val="20"/>
            </w:rPr>
            <w:t>Aprobó:</w:t>
          </w:r>
        </w:p>
      </w:tc>
    </w:tr>
    <w:tr w:rsidR="00675D9E" w:rsidTr="00CD267A">
      <w:trPr>
        <w:cantSplit/>
      </w:trPr>
      <w:tc>
        <w:tcPr>
          <w:tcW w:w="9703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Las copias impresas de este procedimiento son COPIA NO CONTROLADA del mismo salvo que posean el sello colocado sobre las mismas</w:t>
          </w:r>
        </w:p>
      </w:tc>
    </w:tr>
  </w:tbl>
  <w:p w:rsidR="00675D9E" w:rsidRDefault="00675D9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C0" w:rsidRDefault="003F4E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86" w:rsidRDefault="001E7186" w:rsidP="00675D9E">
      <w:pPr>
        <w:spacing w:after="0" w:line="240" w:lineRule="auto"/>
      </w:pPr>
      <w:r>
        <w:separator/>
      </w:r>
    </w:p>
  </w:footnote>
  <w:footnote w:type="continuationSeparator" w:id="0">
    <w:p w:rsidR="001E7186" w:rsidRDefault="001E7186" w:rsidP="0067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C0" w:rsidRDefault="003F4EC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3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87"/>
      <w:gridCol w:w="3875"/>
      <w:gridCol w:w="1766"/>
      <w:gridCol w:w="1145"/>
    </w:tblGrid>
    <w:tr w:rsidR="00675D9E" w:rsidTr="00CD267A">
      <w:trPr>
        <w:cantSplit/>
        <w:trHeight w:val="309"/>
      </w:trPr>
      <w:tc>
        <w:tcPr>
          <w:tcW w:w="2787" w:type="dxa"/>
          <w:vMerge w:val="restart"/>
          <w:shd w:val="clear" w:color="auto" w:fill="auto"/>
        </w:tcPr>
        <w:p w:rsidR="00675D9E" w:rsidRDefault="00675D9E" w:rsidP="00DF4E21">
          <w:pPr>
            <w:pStyle w:val="Encabezado"/>
            <w:rPr>
              <w:rFonts w:ascii="Arial" w:hAnsi="Arial" w:cs="Arial"/>
              <w:b/>
              <w:bCs/>
              <w:sz w:val="20"/>
              <w:highlight w:val="cyan"/>
            </w:rPr>
          </w:pPr>
          <w:r w:rsidRPr="00AD2150">
            <w:rPr>
              <w:rFonts w:ascii="Arial" w:hAnsi="Arial" w:cs="Arial"/>
              <w:b/>
              <w:bCs/>
              <w:noProof/>
              <w:sz w:val="20"/>
              <w:lang w:val="es-ES" w:eastAsia="es-ES"/>
            </w:rPr>
            <w:drawing>
              <wp:inline distT="0" distB="0" distL="0" distR="0">
                <wp:extent cx="1447800" cy="540000"/>
                <wp:effectExtent l="19050" t="0" r="0" b="0"/>
                <wp:docPr id="7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51C81" w:rsidRDefault="00A51C81" w:rsidP="00733D92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PROGRE SySO 013</w:t>
          </w:r>
        </w:p>
        <w:p w:rsidR="00675D9E" w:rsidRDefault="00A51C81" w:rsidP="00733D92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Uso de Extintores de Incendio</w:t>
          </w:r>
        </w:p>
        <w:p w:rsidR="00733D92" w:rsidRPr="00733D92" w:rsidRDefault="00733D92" w:rsidP="00733D92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Revisión: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  <w:r w:rsidR="003F4EC0">
            <w:rPr>
              <w:rFonts w:ascii="Arial" w:hAnsi="Arial" w:cs="Arial"/>
              <w:sz w:val="16"/>
            </w:rPr>
            <w:t>1</w:t>
          </w:r>
        </w:p>
      </w:tc>
    </w:tr>
    <w:tr w:rsidR="00675D9E" w:rsidTr="00CD267A">
      <w:trPr>
        <w:cantSplit/>
        <w:trHeight w:val="305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Vigencia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DD" w:rsidRPr="00A51C81" w:rsidRDefault="003F4EC0" w:rsidP="00A51C81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06-16</w:t>
          </w:r>
        </w:p>
      </w:tc>
    </w:tr>
    <w:tr w:rsidR="00675D9E" w:rsidTr="00CD267A">
      <w:trPr>
        <w:cantSplit/>
        <w:trHeight w:val="35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Próxima  Revisión.</w:t>
          </w:r>
        </w:p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8"/>
            </w:rPr>
          </w:pP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A51C81" w:rsidRDefault="003F4EC0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06-17</w:t>
          </w:r>
          <w:bookmarkStart w:id="0" w:name="_GoBack"/>
          <w:bookmarkEnd w:id="0"/>
        </w:p>
      </w:tc>
    </w:tr>
    <w:tr w:rsidR="00675D9E" w:rsidTr="00CD267A">
      <w:trPr>
        <w:cantSplit/>
        <w:trHeight w:val="26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29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 w:rsidR="00A23228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A23228">
            <w:rPr>
              <w:rFonts w:ascii="Arial" w:hAnsi="Arial" w:cs="Arial"/>
              <w:sz w:val="16"/>
            </w:rPr>
            <w:fldChar w:fldCharType="separate"/>
          </w:r>
          <w:r w:rsidR="00070F56">
            <w:rPr>
              <w:rFonts w:ascii="Arial" w:hAnsi="Arial" w:cs="Arial"/>
              <w:noProof/>
              <w:sz w:val="16"/>
            </w:rPr>
            <w:t>6</w:t>
          </w:r>
          <w:r w:rsidR="00A23228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 w:rsidR="00A23228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A23228">
            <w:rPr>
              <w:rFonts w:ascii="Arial" w:hAnsi="Arial" w:cs="Arial"/>
              <w:sz w:val="16"/>
            </w:rPr>
            <w:fldChar w:fldCharType="separate"/>
          </w:r>
          <w:r w:rsidR="00070F56">
            <w:rPr>
              <w:rFonts w:ascii="Arial" w:hAnsi="Arial" w:cs="Arial"/>
              <w:noProof/>
              <w:sz w:val="16"/>
            </w:rPr>
            <w:t>6</w:t>
          </w:r>
          <w:r w:rsidR="00A23228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675D9E" w:rsidRDefault="00675D9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C0" w:rsidRDefault="003F4E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A2E"/>
    <w:multiLevelType w:val="hybridMultilevel"/>
    <w:tmpl w:val="1D628046"/>
    <w:lvl w:ilvl="0" w:tplc="08EED0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F26FE9"/>
    <w:multiLevelType w:val="hybridMultilevel"/>
    <w:tmpl w:val="7A64CB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2F18"/>
    <w:multiLevelType w:val="hybridMultilevel"/>
    <w:tmpl w:val="B010E22E"/>
    <w:lvl w:ilvl="0" w:tplc="6568E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7906"/>
    <w:multiLevelType w:val="hybridMultilevel"/>
    <w:tmpl w:val="8DE29EA8"/>
    <w:lvl w:ilvl="0" w:tplc="194E1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1FF6"/>
    <w:multiLevelType w:val="hybridMultilevel"/>
    <w:tmpl w:val="F84AB94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7183F86"/>
    <w:multiLevelType w:val="hybridMultilevel"/>
    <w:tmpl w:val="001A60EA"/>
    <w:lvl w:ilvl="0" w:tplc="3F82F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56C2"/>
    <w:multiLevelType w:val="hybridMultilevel"/>
    <w:tmpl w:val="55ECDA3C"/>
    <w:lvl w:ilvl="0" w:tplc="9682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7CC"/>
    <w:multiLevelType w:val="hybridMultilevel"/>
    <w:tmpl w:val="7518B816"/>
    <w:lvl w:ilvl="0" w:tplc="47887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9271D"/>
    <w:multiLevelType w:val="hybridMultilevel"/>
    <w:tmpl w:val="1D547F76"/>
    <w:lvl w:ilvl="0" w:tplc="9480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D96"/>
    <w:rsid w:val="000321E1"/>
    <w:rsid w:val="00070F56"/>
    <w:rsid w:val="000D0D26"/>
    <w:rsid w:val="00194001"/>
    <w:rsid w:val="001B0ED6"/>
    <w:rsid w:val="001E7186"/>
    <w:rsid w:val="00230D66"/>
    <w:rsid w:val="00253383"/>
    <w:rsid w:val="003F3039"/>
    <w:rsid w:val="003F4EC0"/>
    <w:rsid w:val="003F6387"/>
    <w:rsid w:val="00463B4B"/>
    <w:rsid w:val="00484D6F"/>
    <w:rsid w:val="005267E1"/>
    <w:rsid w:val="0053758E"/>
    <w:rsid w:val="005C797B"/>
    <w:rsid w:val="00616FDE"/>
    <w:rsid w:val="00675D9E"/>
    <w:rsid w:val="00733D92"/>
    <w:rsid w:val="00835E72"/>
    <w:rsid w:val="009C4548"/>
    <w:rsid w:val="009F3CC3"/>
    <w:rsid w:val="00A23228"/>
    <w:rsid w:val="00A51C81"/>
    <w:rsid w:val="00AA6644"/>
    <w:rsid w:val="00D279DA"/>
    <w:rsid w:val="00D43D96"/>
    <w:rsid w:val="00DB11CB"/>
    <w:rsid w:val="00DF4E21"/>
    <w:rsid w:val="00E6330F"/>
    <w:rsid w:val="00E96DF7"/>
    <w:rsid w:val="00EA75C4"/>
    <w:rsid w:val="00EF15F4"/>
    <w:rsid w:val="00F3315D"/>
    <w:rsid w:val="00FB5815"/>
    <w:rsid w:val="00FE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.search.yahoo.com/_ylt=A2KI9kBA.Z5TuFoABsq29Qt.;_ylu=X3oDMTBpcGszamw0BHNlYwNmcC1pbWcEc2xrA2ltZw--/RV=2/RE=1402956224/RO=11/RU=http:/www.palumboadministraciones.com/correodelectores/nuevo/RK=0/RS=jyx6H7q_C2_uyIjVWKE0nrkdURY-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.search.yahoo.com/_ylt=A2KI9kBA.Z5TuFoA.Mm29Qt.;_ylu=X3oDMTBpcGszamw0BHNlYwNmcC1pbWcEc2xrA2ltZw--/RV=2/RE=1402956224/RO=11/RU=http:/gestiondriesgos.blogspot.com/2010/09/como-se-debe-utilizar-un-matafuego-el.html/RK=0/RS=q5h4hhSI.4HYq10etgP7w9lHsko-" TargetMode="Externa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.search.yahoo.com/_ylt=A2KI9kBA.Z5TuFoAAsq29Qt.;_ylu=X3oDMTBpcGszamw0BHNlYwNmcC1pbWcEc2xrA2ltZw--/RV=2/RE=1402956224/RO=11/RU=http:/www.paritarios.cl/especial_extintores.htm/RK=0/RS=YSCHZT6SZpz9hCFYUEOo6gM1nZc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2.gi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r.search.yahoo.com/_ylt=A2KI9kBA.Z5TuFoAAMq29Qt.;_ylu=X3oDMTBpcGszamw0BHNlYwNmcC1pbWcEc2xrA2ltZw--/RV=2/RE=1402956224/RO=11/RU=http:/www.ugr.unsl.edu.ar/normas/matafuegos.htm/RK=0/RS=F.14AS7lgHII9lfdWsA4OW5ydSg-" TargetMode="External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Jimena</cp:lastModifiedBy>
  <cp:revision>2</cp:revision>
  <dcterms:created xsi:type="dcterms:W3CDTF">2016-08-22T16:43:00Z</dcterms:created>
  <dcterms:modified xsi:type="dcterms:W3CDTF">2016-08-22T16:43:00Z</dcterms:modified>
</cp:coreProperties>
</file>