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  <w:t xml:space="preserve">Taller de  Retroalimentación: una propuesta de la que todos aprendemos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Descripción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 trata de un taller práctico destinado a presentar las principales características de la retroalimentación educativa y trabajar sobre las formas en proveer ese tipo de retroalimentación diferenciándose de la evaluación o la retroalimentación insuficiente o inadecuada. 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A cargo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Pedro Esteves (Director)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María Laura Merlo (Codirectora)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María José López (Docente)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Ignacio Torre (Docente)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Iván Fernández ( Docente)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Destinatarios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Docentes de carreras en salud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Modalidad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Presencial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Fechas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El taller se desarrolla en dos encuentros presenciales con una duración de dos horas cada encuentro.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Carga horaria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 horas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Que al finalizar el curso los alumnos puedan: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las principales características de la retroalimentación constructiva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Distinguir los tipos de retroalimentación: por expertos, pares, colegas, pacientes, etc.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Diseñar instancias de retroalimentación para sus prácticas docentes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Desarrollar habilidades en la entrega de información al estudiante en base al desempeño, con el fin de que este mejore.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4.0" w:type="dxa"/>
        <w:jc w:val="left"/>
        <w:tblInd w:w="0.0" w:type="dxa"/>
        <w:tblBorders>
          <w:top w:color="f19d64" w:space="0" w:sz="8" w:val="single"/>
          <w:left w:color="f19d64" w:space="0" w:sz="8" w:val="single"/>
          <w:bottom w:color="f19d64" w:space="0" w:sz="8" w:val="single"/>
          <w:right w:color="f19d64" w:space="0" w:sz="8" w:val="single"/>
          <w:insideH w:color="ed7d31" w:space="0" w:sz="8" w:val="single"/>
          <w:insideV w:color="ffffff" w:space="0" w:sz="4" w:val="single"/>
        </w:tblBorders>
        <w:tblLayout w:type="fixed"/>
        <w:tblLook w:val="04A0"/>
      </w:tblPr>
      <w:tblGrid>
        <w:gridCol w:w="2693"/>
        <w:gridCol w:w="7001"/>
        <w:tblGridChange w:id="0">
          <w:tblGrid>
            <w:gridCol w:w="2693"/>
            <w:gridCol w:w="7001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E">
            <w:pPr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Retroalimentación constructiva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Definición. Las características de la retroalimentación constructiva. Las formas de proveer retroalimentación. Diseño de instancias de retroalimentación en la secuencia didáctica. La retroalimentación entre pares</w:t>
            </w:r>
            <w:r w:rsidDel="00000000" w:rsidR="00000000" w:rsidRPr="00000000">
              <w:rPr>
                <w:rtl w:val="0"/>
              </w:rPr>
              <w:t xml:space="preserve"> y de expertos. Clima educativo, habilidades de comunicación.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Diferencias principales entre retroalimentación y evaluación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Diferencias conceptuales y en las prácticas de evaluación y entrega de retroalimentación como partes del proceso de enseñanza y aprendizaje. </w:t>
            </w:r>
          </w:p>
        </w:tc>
      </w:tr>
    </w:tbl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Cronograma</w:t>
      </w:r>
    </w:p>
    <w:tbl>
      <w:tblPr>
        <w:tblStyle w:val="Table2"/>
        <w:tblW w:w="9525.0" w:type="dxa"/>
        <w:jc w:val="left"/>
        <w:tblInd w:w="0.0" w:type="dxa"/>
        <w:tblBorders>
          <w:top w:color="f19d64" w:space="0" w:sz="8" w:val="single"/>
          <w:left w:color="f19d64" w:space="0" w:sz="8" w:val="single"/>
          <w:bottom w:color="f19d64" w:space="0" w:sz="8" w:val="single"/>
          <w:right w:color="f19d64" w:space="0" w:sz="8" w:val="single"/>
          <w:insideH w:color="f19d64" w:space="0" w:sz="8" w:val="single"/>
          <w:insideV w:color="ffffff" w:space="0" w:sz="4" w:val="single"/>
        </w:tblBorders>
        <w:tblLayout w:type="fixed"/>
        <w:tblLook w:val="04A0"/>
      </w:tblPr>
      <w:tblGrid>
        <w:gridCol w:w="2190"/>
        <w:gridCol w:w="7335"/>
        <w:tblGridChange w:id="0">
          <w:tblGrid>
            <w:gridCol w:w="2190"/>
            <w:gridCol w:w="7335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color w:val="494228"/>
                <w:sz w:val="24"/>
                <w:szCs w:val="24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Encuentros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color w:val="494228"/>
                <w:sz w:val="24"/>
                <w:szCs w:val="24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color w:val="494228"/>
                <w:sz w:val="24"/>
                <w:szCs w:val="24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Primer encuentro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494228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Se propone la realización de role play para aplicar los conceptos vistos y analizar situaciones </w:t>
            </w:r>
          </w:p>
          <w:p w:rsidR="00000000" w:rsidDel="00000000" w:rsidP="00000000" w:rsidRDefault="00000000" w:rsidRPr="00000000" w14:paraId="0000002A">
            <w:pPr>
              <w:rPr>
                <w:color w:val="494228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Exposición dialogada</w:t>
            </w:r>
          </w:p>
        </w:tc>
      </w:tr>
      <w:tr>
        <w:trPr>
          <w:cantSplit w:val="0"/>
          <w:trHeight w:val="179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color w:val="494228"/>
                <w:sz w:val="24"/>
                <w:szCs w:val="24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Segundo encuentro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494228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Exposición de conceptos </w:t>
            </w:r>
          </w:p>
          <w:p w:rsidR="00000000" w:rsidDel="00000000" w:rsidP="00000000" w:rsidRDefault="00000000" w:rsidRPr="00000000" w14:paraId="0000002D">
            <w:pPr>
              <w:rPr>
                <w:color w:val="494228"/>
              </w:rPr>
            </w:pPr>
            <w:r w:rsidDel="00000000" w:rsidR="00000000" w:rsidRPr="00000000">
              <w:rPr>
                <w:color w:val="494228"/>
                <w:rtl w:val="0"/>
              </w:rPr>
              <w:t xml:space="preserve">Se propone la realización de role play para aplicar los conceptos vistos y analizar situaciones </w:t>
            </w:r>
          </w:p>
          <w:p w:rsidR="00000000" w:rsidDel="00000000" w:rsidP="00000000" w:rsidRDefault="00000000" w:rsidRPr="00000000" w14:paraId="0000002E">
            <w:pPr>
              <w:rPr>
                <w:color w:val="4942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r w:rsidDel="00000000" w:rsidR="00000000" w:rsidRPr="00000000">
        <w:rPr>
          <w:rtl w:val="0"/>
        </w:rPr>
        <w:t xml:space="preserve">Actividades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Consisten en realizar role play aplicando conceptos vistos en el curso, desde la bibliografía y la exposición de conceptos. Además se analizan tipos de retroalimentación dadas. 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Evaluación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La evaluación es continua se basa en la participación en los encuentros y reflexión en las instancias previstas en dichos encuentros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r w:rsidDel="00000000" w:rsidR="00000000" w:rsidRPr="00000000">
        <w:rPr>
          <w:rtl w:val="0"/>
        </w:rPr>
        <w:t xml:space="preserve">Bibliografía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MAZARIEGOS, D. R. V. " RETROALIMENTACIÓN (FEEDBACK) POSITIVA PARA EL MEJORAMIENTO DEL ENTRENAMIENTO (COACHING) Y LIDERAZGO.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FERRERO, M. I., MARTÍN, M., &amp; AGUIRRE, C. D. M. J. (2010). La importancia del feedback constructivo en la evaluación de las ejecuciones musicales grupales. </w:t>
      </w:r>
      <w:r w:rsidDel="00000000" w:rsidR="00000000" w:rsidRPr="00000000">
        <w:rPr>
          <w:rtl w:val="0"/>
        </w:rPr>
        <w:t xml:space="preserve">Actas De La IX Reunión De Saccom. Recuperado de: http://www. saccom. org. ar/2010_reunion9/actas/47. Ferrero-Martin. pdf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Alves De Lima, A. E. (2008). Devolución constructiva: una estrategia para mejorar el aprendizaje. </w:t>
      </w:r>
      <w:r w:rsidDel="00000000" w:rsidR="00000000" w:rsidRPr="00000000">
        <w:rPr>
          <w:rtl w:val="0"/>
        </w:rPr>
        <w:t xml:space="preserve">Medicina (Buenos Aires)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68</w:t>
      </w:r>
      <w:r w:rsidDel="00000000" w:rsidR="00000000" w:rsidRPr="00000000">
        <w:rPr>
          <w:rtl w:val="0"/>
        </w:rPr>
        <w:t xml:space="preserve">(1), 88-92.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Williams, J. y Kane, D. (2009). Evaluación y retroalimentación: Experiencias institucionales de retroalimentación estudiantil, 1996 a 2007. </w:t>
      </w:r>
      <w:r w:rsidDel="00000000" w:rsidR="00000000" w:rsidRPr="00000000">
        <w:rPr>
          <w:rtl w:val="0"/>
        </w:rPr>
        <w:t xml:space="preserve">Trimestral de Educación Superior</w:t>
      </w:r>
      <w:r w:rsidDel="00000000" w:rsidR="00000000" w:rsidRPr="00000000">
        <w:rPr>
          <w:rtl w:val="0"/>
        </w:rPr>
        <w:t xml:space="preserve"> , </w:t>
      </w:r>
      <w:r w:rsidDel="00000000" w:rsidR="00000000" w:rsidRPr="00000000">
        <w:rPr>
          <w:rtl w:val="0"/>
        </w:rPr>
        <w:t xml:space="preserve">63</w:t>
      </w:r>
      <w:r w:rsidDel="00000000" w:rsidR="00000000" w:rsidRPr="00000000">
        <w:rPr>
          <w:rtl w:val="0"/>
        </w:rPr>
        <w:t xml:space="preserve"> (3), 264-286.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ESTEVES Pedro Eliseo, Habilidades de comunicación en la formación médica. Tesis doctoral, (2007) Facultad de Ciencias Médicas UNCuyo, Mendoza -Argentina.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ESTEVES P, TORRE I, FERNANDEZ I, MAMPEL A y MARIANETTI M (2020), Un modelo para educar y evaluar habilidades de comunicación en estudiantes de medicina. Rev. Methodo; 5 (1) 24-29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ENDEJ.Feedback in Clinical MedicalEducation,(1983) JAMA-Vol.250, No 6 TEN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CATETJ.(2013)Why receiving feedback collides with self determination.Adv in HealthSciEduc. 18:845–849 DECI, E. L., &amp; RYAN, R. M. (2002). Overview of self-determination theory: An organismic dialectical perspective. In L. Deci &amp; R. M. Ryan (Eds.), Handbook of self-determination research (1st ed.). Rochester, NY:The University of RochesterPress.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843" w:left="1701" w:right="170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59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211455</wp:posOffset>
          </wp:positionV>
          <wp:extent cx="3279775" cy="485775"/>
          <wp:effectExtent b="0" l="0" r="0" t="0"/>
          <wp:wrapSquare wrapText="bothSides" distB="0" distT="0" distL="114300" distR="114300"/>
          <wp:docPr descr="logo-uncuyo-fcm-grises" id="2" name="image1.png"/>
          <a:graphic>
            <a:graphicData uri="http://schemas.openxmlformats.org/drawingml/2006/picture">
              <pic:pic>
                <pic:nvPicPr>
                  <pic:cNvPr descr="logo-uncuyo-fcm-grise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977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  <w:ind w:hanging="432"/>
    </w:pPr>
    <w:rPr>
      <w:b w:val="1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al" w:default="1">
    <w:name w:val="Normal"/>
    <w:rsid w:val="00C777AD"/>
    <w:pPr>
      <w:widowControl w:val="0"/>
      <w:spacing w:after="160" w:line="259" w:lineRule="auto"/>
      <w:jc w:val="both"/>
    </w:pPr>
    <w:rPr>
      <w:rFonts w:ascii="Calibri" w:cs="Calibri" w:eastAsia="Calibri" w:hAnsi="Calibri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ar"/>
    <w:rsid w:val="00C777AD"/>
    <w:pPr>
      <w:keepNext w:val="1"/>
      <w:keepLines w:val="1"/>
      <w:pBdr>
        <w:bottom w:color="595959" w:space="1" w:sz="4" w:val="single"/>
      </w:pBdr>
      <w:spacing w:before="360"/>
      <w:ind w:hanging="432"/>
      <w:outlineLvl w:val="0"/>
    </w:pPr>
    <w:rPr>
      <w:b w:val="1"/>
      <w:smallCaps w:val="1"/>
      <w:sz w:val="36"/>
      <w:szCs w:val="3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D817C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semiHidden w:val="1"/>
    <w:locked w:val="1"/>
    <w:rsid w:val="00D817CA"/>
    <w:rPr>
      <w:sz w:val="24"/>
      <w:szCs w:val="24"/>
      <w:lang w:bidi="ar-SA" w:eastAsia="es-ES" w:val="es-AR"/>
    </w:rPr>
  </w:style>
  <w:style w:type="paragraph" w:styleId="Piedepgina">
    <w:name w:val="footer"/>
    <w:basedOn w:val="Normal"/>
    <w:rsid w:val="007D4EFA"/>
    <w:pPr>
      <w:tabs>
        <w:tab w:val="center" w:pos="4252"/>
        <w:tab w:val="right" w:pos="8504"/>
      </w:tabs>
    </w:pPr>
  </w:style>
  <w:style w:type="character" w:styleId="Ttulo1Car" w:customStyle="1">
    <w:name w:val="Título 1 Car"/>
    <w:basedOn w:val="Fuentedeprrafopredeter"/>
    <w:link w:val="Ttulo1"/>
    <w:rsid w:val="00C777AD"/>
    <w:rPr>
      <w:rFonts w:ascii="Calibri" w:cs="Calibri" w:eastAsia="Calibri" w:hAnsi="Calibri"/>
      <w:b w:val="1"/>
      <w:smallCaps w:val="1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rsid w:val="00C777AD"/>
    <w:pPr>
      <w:spacing w:after="0" w:line="240" w:lineRule="auto"/>
    </w:pPr>
    <w:rPr>
      <w:sz w:val="56"/>
      <w:szCs w:val="56"/>
    </w:rPr>
  </w:style>
  <w:style w:type="character" w:styleId="TtuloCar" w:customStyle="1">
    <w:name w:val="Título Car"/>
    <w:basedOn w:val="Fuentedeprrafopredeter"/>
    <w:link w:val="Ttulo"/>
    <w:rsid w:val="00C777AD"/>
    <w:rPr>
      <w:rFonts w:ascii="Calibri" w:cs="Calibri" w:eastAsia="Calibri" w:hAnsi="Calibri"/>
      <w:color w:val="000000"/>
      <w:sz w:val="56"/>
      <w:szCs w:val="56"/>
    </w:rPr>
  </w:style>
  <w:style w:type="paragraph" w:styleId="Prrafodelista">
    <w:name w:val="List Paragraph"/>
    <w:basedOn w:val="Normal"/>
    <w:uiPriority w:val="34"/>
    <w:qFormat w:val="1"/>
    <w:rsid w:val="00C777AD"/>
    <w:pPr>
      <w:widowControl w:val="1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lang w:eastAsia="en-US" w:val="es-AR"/>
    </w:rPr>
  </w:style>
  <w:style w:type="table" w:styleId="Listaclara-nfasis2">
    <w:name w:val="Light List Accent 2"/>
    <w:basedOn w:val="Tablanormal"/>
    <w:uiPriority w:val="61"/>
    <w:rsid w:val="00C777AD"/>
    <w:pPr>
      <w:widowControl w:val="0"/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</w:style>
  <w:style w:type="table" w:styleId="Tablaconcuadrcula">
    <w:name w:val="Table Grid"/>
    <w:basedOn w:val="Tablanormal"/>
    <w:uiPriority w:val="39"/>
    <w:rsid w:val="008D7AE5"/>
    <w:rPr>
      <w:rFonts w:asciiTheme="minorHAnsi" w:cstheme="minorBidi" w:eastAsiaTheme="minorHAnsi" w:hAnsiTheme="minorHAnsi"/>
      <w:sz w:val="24"/>
      <w:szCs w:val="24"/>
      <w:lang w:eastAsia="en-U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5oscura-nfasis21" w:customStyle="1">
    <w:name w:val="Tabla de cuadrícula 5 oscura - Énfasis 21"/>
    <w:basedOn w:val="Tablanormal"/>
    <w:uiPriority w:val="50"/>
    <w:rsid w:val="008D7AE5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paragraph" w:styleId="Textodeglobo">
    <w:name w:val="Balloon Text"/>
    <w:basedOn w:val="Normal"/>
    <w:link w:val="TextodegloboCar"/>
    <w:semiHidden w:val="1"/>
    <w:unhideWhenUsed w:val="1"/>
    <w:rsid w:val="004F69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semiHidden w:val="1"/>
    <w:rsid w:val="004F6920"/>
    <w:rPr>
      <w:rFonts w:ascii="Segoe UI" w:cs="Segoe UI" w:eastAsia="Calibri" w:hAnsi="Segoe UI"/>
      <w:color w:val="000000"/>
      <w:sz w:val="18"/>
      <w:szCs w:val="18"/>
    </w:rPr>
  </w:style>
  <w:style w:type="table" w:styleId="Sombreadomedio1-nfasis2">
    <w:name w:val="Medium Shading 1 Accent 2"/>
    <w:basedOn w:val="Tablanormal"/>
    <w:uiPriority w:val="63"/>
    <w:rsid w:val="00041DF2"/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19d64" w:space="0" w:sz="8" w:themeColor="accent2" w:themeTint="0000BF" w:val="sing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19d64" w:space="0" w:sz="6" w:themeColor="accent2" w:themeTint="0000BF" w:val="doub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  <w:tblStylePr w:type="band1Horz">
      <w:tcPr>
        <w:tcBorders>
          <w:top w:color="ed7d31" w:space="0" w:sz="8" w:val="single"/>
          <w:left w:color="ed7d31" w:space="0" w:sz="8" w:val="single"/>
          <w:bottom w:color="ed7d31" w:space="0" w:sz="8" w:val="single"/>
          <w:right w:color="ed7d31" w:space="0" w:sz="8" w:val="single"/>
        </w:tcBorders>
      </w:tcPr>
    </w:tblStylePr>
    <w:tblStylePr w:type="band1Vert">
      <w:tcPr>
        <w:tcBorders>
          <w:top w:color="ed7d31" w:space="0" w:sz="8" w:val="single"/>
          <w:left w:color="ed7d31" w:space="0" w:sz="8" w:val="single"/>
          <w:bottom w:color="ed7d31" w:space="0" w:sz="8" w:val="single"/>
          <w:right w:color="ed7d31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ed7d31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ed7d31" w:space="0" w:sz="6" w:val="single"/>
          <w:left w:color="ed7d31" w:space="0" w:sz="8" w:val="single"/>
          <w:bottom w:color="ed7d31" w:space="0" w:sz="8" w:val="single"/>
          <w:right w:color="ed7d31" w:space="0" w:sz="8" w:val="single"/>
        </w:tcBorders>
      </w:tcPr>
    </w:tblStylePr>
  </w:style>
  <w:style w:type="table" w:styleId="Table2">
    <w:basedOn w:val="TableNormal"/>
    <w:pPr>
      <w:widowControl w:val="0"/>
    </w:pPr>
    <w:rPr>
      <w:rFonts w:ascii="Calibri" w:cs="Calibri" w:eastAsia="Calibri" w:hAnsi="Calibri"/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  <w:tblStylePr w:type="band1Horz">
      <w:tcPr>
        <w:tcBorders>
          <w:insideH w:color="000000" w:space="0" w:sz="0" w:val="nil"/>
          <w:insideV w:color="000000" w:space="0" w:sz="0" w:val="nil"/>
        </w:tcBorders>
        <w:shd w:fill="fadecc" w:val="clear"/>
      </w:tcPr>
    </w:tblStylePr>
    <w:tblStylePr w:type="band1Vert">
      <w:tcPr>
        <w:shd w:fill="fadecc" w:val="clear"/>
      </w:tcPr>
    </w:tblStylePr>
    <w:tblStylePr w:type="band2Horz">
      <w:tcPr>
        <w:tcBorders>
          <w:insideH w:color="000000" w:space="0" w:sz="0" w:val="nil"/>
          <w:insideV w:color="000000" w:space="0" w:sz="0" w:val="nil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f19d64" w:space="0" w:sz="8" w:val="single"/>
          <w:left w:color="f19d64" w:space="0" w:sz="8" w:val="single"/>
          <w:bottom w:color="f19d64" w:space="0" w:sz="8" w:val="single"/>
          <w:right w:color="f19d64" w:space="0" w:sz="8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f19d64" w:space="0" w:sz="6" w:val="single"/>
          <w:left w:color="f19d64" w:space="0" w:sz="8" w:val="single"/>
          <w:bottom w:color="f19d64" w:space="0" w:sz="8" w:val="single"/>
          <w:right w:color="f19d64" w:space="0" w:sz="8" w:val="single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tzy+TGJpQdGj4h0uRhQxiyrsg==">AMUW2mW7ydU5Q5J5PRxgfhOCvx02MWhfHPa3QQZiTTY4qamkgmtDRPby5E+ZEiVa1gxtRJlHJCe1aZ2Jk5/AOxYPGYy/BZX0Y25P+gb30JwVBMtZdClJDRPBtd3E9qBy0zLgjT1Rha4x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2021-12-15T13:55:00Z</dcterms:created>
  <dc:creator>Maria Jose Lopez</dc:creator>
</cp:coreProperties>
</file>